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11CE" w14:textId="77777777" w:rsidR="00F66D11" w:rsidRPr="00F66D11" w:rsidRDefault="00F66D11" w:rsidP="00F66D11">
      <w:pPr>
        <w:widowControl/>
        <w:pBdr>
          <w:bottom w:val="single" w:sz="6" w:space="23" w:color="666666"/>
        </w:pBdr>
        <w:spacing w:before="150" w:after="150" w:line="600" w:lineRule="atLeast"/>
        <w:ind w:left="450" w:right="450"/>
        <w:jc w:val="center"/>
        <w:outlineLvl w:val="0"/>
        <w:rPr>
          <w:rFonts w:ascii="΢���ź�" w:eastAsia="宋体" w:hAnsi="΢���ź�" w:cs="宋体"/>
          <w:b/>
          <w:bCs/>
          <w:color w:val="333333"/>
          <w:kern w:val="36"/>
          <w:sz w:val="45"/>
          <w:szCs w:val="45"/>
          <w14:ligatures w14:val="none"/>
        </w:rPr>
      </w:pPr>
      <w:r w:rsidRPr="00F66D11">
        <w:rPr>
          <w:rFonts w:ascii="΢���ź�" w:eastAsia="宋体" w:hAnsi="΢���ź�" w:cs="宋体"/>
          <w:b/>
          <w:bCs/>
          <w:color w:val="333333"/>
          <w:kern w:val="36"/>
          <w:sz w:val="45"/>
          <w:szCs w:val="45"/>
          <w14:ligatures w14:val="none"/>
        </w:rPr>
        <w:t>关于发布《深圳证券交易所股票上市规则（</w:t>
      </w:r>
      <w:r w:rsidRPr="00F66D11">
        <w:rPr>
          <w:rFonts w:ascii="΢���ź�" w:eastAsia="宋体" w:hAnsi="΢���ź�" w:cs="宋体"/>
          <w:b/>
          <w:bCs/>
          <w:color w:val="333333"/>
          <w:kern w:val="36"/>
          <w:sz w:val="45"/>
          <w:szCs w:val="45"/>
          <w14:ligatures w14:val="none"/>
        </w:rPr>
        <w:t>2020</w:t>
      </w:r>
      <w:r w:rsidRPr="00F66D11">
        <w:rPr>
          <w:rFonts w:ascii="΢���ź�" w:eastAsia="宋体" w:hAnsi="΢���ź�" w:cs="宋体"/>
          <w:b/>
          <w:bCs/>
          <w:color w:val="333333"/>
          <w:kern w:val="36"/>
          <w:sz w:val="45"/>
          <w:szCs w:val="45"/>
          <w14:ligatures w14:val="none"/>
        </w:rPr>
        <w:t>年修订）》的通知</w:t>
      </w:r>
    </w:p>
    <w:p w14:paraId="4660755E" w14:textId="77777777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rFonts w:ascii="΢���ź�" w:hAnsi="΢���ź�"/>
          <w:color w:val="333333"/>
        </w:rPr>
      </w:pPr>
      <w:r>
        <w:rPr>
          <w:rStyle w:val="a4"/>
          <w:rFonts w:ascii="΢���ź�" w:hAnsi="΢���ź�"/>
          <w:color w:val="333333"/>
          <w:sz w:val="32"/>
          <w:szCs w:val="32"/>
        </w:rPr>
        <w:t>关于发布《深圳证券交易所股票上市规则（</w:t>
      </w:r>
      <w:r>
        <w:rPr>
          <w:rStyle w:val="a4"/>
          <w:rFonts w:ascii="΢���ź�" w:hAnsi="΢���ź�"/>
          <w:color w:val="333333"/>
          <w:sz w:val="32"/>
          <w:szCs w:val="32"/>
        </w:rPr>
        <w:t>2020</w:t>
      </w:r>
      <w:r>
        <w:rPr>
          <w:rStyle w:val="a4"/>
          <w:rFonts w:ascii="΢���ź�" w:hAnsi="΢���ź�"/>
          <w:color w:val="333333"/>
          <w:sz w:val="32"/>
          <w:szCs w:val="32"/>
        </w:rPr>
        <w:t>年修订）》的通知</w:t>
      </w:r>
    </w:p>
    <w:p w14:paraId="7D83636A" w14:textId="77777777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΢���ź�" w:hAnsi="΢���ź�"/>
          <w:color w:val="333333"/>
        </w:rPr>
      </w:pPr>
      <w:r>
        <w:rPr>
          <w:rFonts w:ascii="΢���ź�" w:hAnsi="΢���ź�"/>
          <w:color w:val="333333"/>
          <w:sz w:val="20"/>
          <w:szCs w:val="20"/>
        </w:rPr>
        <w:t> </w:t>
      </w:r>
    </w:p>
    <w:p w14:paraId="3489C6FB" w14:textId="77777777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jc w:val="right"/>
        <w:rPr>
          <w:rFonts w:ascii="΢���ź�" w:hAnsi="΢���ź�"/>
          <w:color w:val="333333"/>
        </w:rPr>
      </w:pPr>
      <w:r>
        <w:rPr>
          <w:rFonts w:ascii="΢���ź�" w:hAnsi="΢���ź�"/>
          <w:color w:val="333333"/>
          <w:sz w:val="20"/>
          <w:szCs w:val="20"/>
        </w:rPr>
        <w:t>深证上〔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〕</w:t>
      </w:r>
      <w:r>
        <w:rPr>
          <w:rFonts w:ascii="΢���ź�" w:hAnsi="΢���ź�"/>
          <w:color w:val="333333"/>
          <w:sz w:val="20"/>
          <w:szCs w:val="20"/>
        </w:rPr>
        <w:t>1294</w:t>
      </w:r>
      <w:r>
        <w:rPr>
          <w:rFonts w:ascii="΢���ź�" w:hAnsi="΢���ź�"/>
          <w:color w:val="333333"/>
          <w:sz w:val="20"/>
          <w:szCs w:val="20"/>
        </w:rPr>
        <w:t>号</w:t>
      </w:r>
    </w:p>
    <w:p w14:paraId="24A34D33" w14:textId="77777777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΢���ź�" w:hAnsi="΢���ź�"/>
          <w:color w:val="333333"/>
        </w:rPr>
      </w:pPr>
      <w:r>
        <w:rPr>
          <w:rFonts w:ascii="΢���ź�" w:hAnsi="΢���ź�"/>
          <w:color w:val="333333"/>
          <w:sz w:val="20"/>
          <w:szCs w:val="20"/>
        </w:rPr>
        <w:t> </w:t>
      </w:r>
    </w:p>
    <w:p w14:paraId="27D551FB" w14:textId="77777777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΢���ź�" w:hAnsi="΢���ź�"/>
          <w:color w:val="333333"/>
        </w:rPr>
      </w:pPr>
      <w:r>
        <w:rPr>
          <w:rFonts w:ascii="΢���ź�" w:hAnsi="΢���ź�"/>
          <w:color w:val="333333"/>
          <w:sz w:val="20"/>
          <w:szCs w:val="20"/>
        </w:rPr>
        <w:t>各市场参与人：</w:t>
      </w:r>
    </w:p>
    <w:p w14:paraId="3DB6C35B" w14:textId="1DBEEFA3" w:rsidR="00F66D11" w:rsidRDefault="00F66D11" w:rsidP="00F66D11">
      <w:pPr>
        <w:pStyle w:val="a3"/>
        <w:shd w:val="clear" w:color="auto" w:fill="FFFFFF"/>
        <w:spacing w:before="0" w:beforeAutospacing="0" w:after="0" w:afterAutospacing="0" w:line="345" w:lineRule="atLeast"/>
        <w:rPr>
          <w:rFonts w:ascii="΢���ź�" w:hAnsi="΢���ź�"/>
          <w:color w:val="333333"/>
        </w:rPr>
      </w:pP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为贯彻落实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中央深改委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审议通过的《健全上市公司退市机制实施方案》，进一步完善市场化、常态化退出机制，净化资本市场生态，保护投资者合法权益，按照中国证监会统一部署，本所对《深圳证券交易所股票上市规则（</w:t>
      </w:r>
      <w:r>
        <w:rPr>
          <w:rFonts w:ascii="΢���ź�" w:hAnsi="΢���ź�"/>
          <w:color w:val="333333"/>
          <w:sz w:val="20"/>
          <w:szCs w:val="20"/>
        </w:rPr>
        <w:t>2018</w:t>
      </w:r>
      <w:r>
        <w:rPr>
          <w:rFonts w:ascii="΢���ź�" w:hAnsi="΢���ź�"/>
          <w:color w:val="333333"/>
          <w:sz w:val="20"/>
          <w:szCs w:val="20"/>
        </w:rPr>
        <w:t>年</w:t>
      </w:r>
      <w:r>
        <w:rPr>
          <w:rFonts w:ascii="΢���ź�" w:hAnsi="΢���ź�"/>
          <w:color w:val="333333"/>
          <w:sz w:val="20"/>
          <w:szCs w:val="20"/>
        </w:rPr>
        <w:t>11</w:t>
      </w:r>
      <w:r>
        <w:rPr>
          <w:rFonts w:ascii="΢���ź�" w:hAnsi="΢���ź�"/>
          <w:color w:val="333333"/>
          <w:sz w:val="20"/>
          <w:szCs w:val="20"/>
        </w:rPr>
        <w:t>月修订）》（以下简称原规则）进行了修订，形成《深圳证券交易所股票上市规则（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年修订）》（以下简称新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）。经中国证监会批准，现予以发布，自发布之日起施行。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本所</w:t>
      </w:r>
      <w:r>
        <w:rPr>
          <w:rFonts w:ascii="΢���ź�" w:hAnsi="΢���ź�"/>
          <w:color w:val="333333"/>
          <w:sz w:val="20"/>
          <w:szCs w:val="20"/>
        </w:rPr>
        <w:t>2018</w:t>
      </w:r>
      <w:r>
        <w:rPr>
          <w:rFonts w:ascii="΢���ź�" w:hAnsi="΢���ź�"/>
          <w:color w:val="333333"/>
          <w:sz w:val="20"/>
          <w:szCs w:val="20"/>
        </w:rPr>
        <w:t>年</w:t>
      </w:r>
      <w:r>
        <w:rPr>
          <w:rFonts w:ascii="΢���ź�" w:hAnsi="΢���ź�"/>
          <w:color w:val="333333"/>
          <w:sz w:val="20"/>
          <w:szCs w:val="20"/>
        </w:rPr>
        <w:t>11</w:t>
      </w:r>
      <w:r>
        <w:rPr>
          <w:rFonts w:ascii="΢���ź�" w:hAnsi="΢���ź�"/>
          <w:color w:val="333333"/>
          <w:sz w:val="20"/>
          <w:szCs w:val="20"/>
        </w:rPr>
        <w:t>月</w:t>
      </w:r>
      <w:r>
        <w:rPr>
          <w:rFonts w:ascii="΢���ź�" w:hAnsi="΢���ź�"/>
          <w:color w:val="333333"/>
          <w:sz w:val="20"/>
          <w:szCs w:val="20"/>
        </w:rPr>
        <w:t>16</w:t>
      </w:r>
      <w:r>
        <w:rPr>
          <w:rFonts w:ascii="΢���ź�" w:hAnsi="΢���ź�"/>
          <w:color w:val="333333"/>
          <w:sz w:val="20"/>
          <w:szCs w:val="20"/>
        </w:rPr>
        <w:t>日发布的《深圳证券交易所上市公司重大违法强制退市实施办法》（深证上〔</w:t>
      </w:r>
      <w:r>
        <w:rPr>
          <w:rFonts w:ascii="΢���ź�" w:hAnsi="΢���ź�"/>
          <w:color w:val="333333"/>
          <w:sz w:val="20"/>
          <w:szCs w:val="20"/>
        </w:rPr>
        <w:t>2018</w:t>
      </w:r>
      <w:r>
        <w:rPr>
          <w:rFonts w:ascii="΢���ź�" w:hAnsi="΢���ź�"/>
          <w:color w:val="333333"/>
          <w:sz w:val="20"/>
          <w:szCs w:val="20"/>
        </w:rPr>
        <w:t>〕</w:t>
      </w:r>
      <w:r>
        <w:rPr>
          <w:rFonts w:ascii="΢���ź�" w:hAnsi="΢���ź�"/>
          <w:color w:val="333333"/>
          <w:sz w:val="20"/>
          <w:szCs w:val="20"/>
        </w:rPr>
        <w:t>556</w:t>
      </w:r>
      <w:r>
        <w:rPr>
          <w:rFonts w:ascii="΢���ź�" w:hAnsi="΢���ź�"/>
          <w:color w:val="333333"/>
          <w:sz w:val="20"/>
          <w:szCs w:val="20"/>
        </w:rPr>
        <w:t>号）（以下简称《重大违法强制退市办法》）和</w:t>
      </w:r>
      <w:r>
        <w:rPr>
          <w:rFonts w:ascii="΢���ź�" w:hAnsi="΢���ź�"/>
          <w:color w:val="333333"/>
          <w:sz w:val="20"/>
          <w:szCs w:val="20"/>
        </w:rPr>
        <w:t>2017</w:t>
      </w:r>
      <w:r>
        <w:rPr>
          <w:rFonts w:ascii="΢���ź�" w:hAnsi="΢���ź�"/>
          <w:color w:val="333333"/>
          <w:sz w:val="20"/>
          <w:szCs w:val="20"/>
        </w:rPr>
        <w:t>年</w:t>
      </w:r>
      <w:r>
        <w:rPr>
          <w:rFonts w:ascii="΢���ź�" w:hAnsi="΢���ź�"/>
          <w:color w:val="333333"/>
          <w:sz w:val="20"/>
          <w:szCs w:val="20"/>
        </w:rPr>
        <w:t>6</w:t>
      </w:r>
      <w:r>
        <w:rPr>
          <w:rFonts w:ascii="΢���ź�" w:hAnsi="΢���ź�"/>
          <w:color w:val="333333"/>
          <w:sz w:val="20"/>
          <w:szCs w:val="20"/>
        </w:rPr>
        <w:t>月</w:t>
      </w:r>
      <w:r>
        <w:rPr>
          <w:rFonts w:ascii="΢���ź�" w:hAnsi="΢���ź�"/>
          <w:color w:val="333333"/>
          <w:sz w:val="20"/>
          <w:szCs w:val="20"/>
        </w:rPr>
        <w:t>28</w:t>
      </w:r>
      <w:r>
        <w:rPr>
          <w:rFonts w:ascii="΢���ź�" w:hAnsi="΢���ź�"/>
          <w:color w:val="333333"/>
          <w:sz w:val="20"/>
          <w:szCs w:val="20"/>
        </w:rPr>
        <w:t>日发布的《深圳证券交易所退市整理期业务特别规定（</w:t>
      </w:r>
      <w:r>
        <w:rPr>
          <w:rFonts w:ascii="΢���ź�" w:hAnsi="΢���ź�"/>
          <w:color w:val="333333"/>
          <w:sz w:val="20"/>
          <w:szCs w:val="20"/>
        </w:rPr>
        <w:t>2017</w:t>
      </w:r>
      <w:r>
        <w:rPr>
          <w:rFonts w:ascii="΢���ź�" w:hAnsi="΢���ź�"/>
          <w:color w:val="333333"/>
          <w:sz w:val="20"/>
          <w:szCs w:val="20"/>
        </w:rPr>
        <w:t>年修订）》（深证上〔</w:t>
      </w:r>
      <w:r>
        <w:rPr>
          <w:rFonts w:ascii="΢���ź�" w:hAnsi="΢���ź�"/>
          <w:color w:val="333333"/>
          <w:sz w:val="20"/>
          <w:szCs w:val="20"/>
        </w:rPr>
        <w:t>2017</w:t>
      </w:r>
      <w:r>
        <w:rPr>
          <w:rFonts w:ascii="΢���ź�" w:hAnsi="΢���ź�"/>
          <w:color w:val="333333"/>
          <w:sz w:val="20"/>
          <w:szCs w:val="20"/>
        </w:rPr>
        <w:t>〕</w:t>
      </w:r>
      <w:r>
        <w:rPr>
          <w:rFonts w:ascii="΢���ź�" w:hAnsi="΢���ź�"/>
          <w:color w:val="333333"/>
          <w:sz w:val="20"/>
          <w:szCs w:val="20"/>
        </w:rPr>
        <w:t>420</w:t>
      </w:r>
      <w:r>
        <w:rPr>
          <w:rFonts w:ascii="΢���ź�" w:hAnsi="΢���ź�"/>
          <w:color w:val="333333"/>
          <w:sz w:val="20"/>
          <w:szCs w:val="20"/>
        </w:rPr>
        <w:t>号），以及</w:t>
      </w:r>
      <w:r>
        <w:rPr>
          <w:rFonts w:ascii="΢���ź�" w:hAnsi="΢���ź�"/>
          <w:color w:val="333333"/>
          <w:sz w:val="20"/>
          <w:szCs w:val="20"/>
        </w:rPr>
        <w:t>2019</w:t>
      </w:r>
      <w:r>
        <w:rPr>
          <w:rFonts w:ascii="΢���ź�" w:hAnsi="΢���ź�"/>
          <w:color w:val="333333"/>
          <w:sz w:val="20"/>
          <w:szCs w:val="20"/>
        </w:rPr>
        <w:t>年</w:t>
      </w:r>
      <w:r>
        <w:rPr>
          <w:rFonts w:ascii="΢���ź�" w:hAnsi="΢���ź�"/>
          <w:color w:val="333333"/>
          <w:sz w:val="20"/>
          <w:szCs w:val="20"/>
        </w:rPr>
        <w:t>4</w:t>
      </w:r>
      <w:r>
        <w:rPr>
          <w:rFonts w:ascii="΢���ź�" w:hAnsi="΢���ź�"/>
          <w:color w:val="333333"/>
          <w:sz w:val="20"/>
          <w:szCs w:val="20"/>
        </w:rPr>
        <w:t>月</w:t>
      </w:r>
      <w:r>
        <w:rPr>
          <w:rFonts w:ascii="΢���ź�" w:hAnsi="΢���ź�"/>
          <w:color w:val="333333"/>
          <w:sz w:val="20"/>
          <w:szCs w:val="20"/>
        </w:rPr>
        <w:t>30</w:t>
      </w:r>
      <w:r>
        <w:rPr>
          <w:rFonts w:ascii="΢���ź�" w:hAnsi="΢���ź�"/>
          <w:color w:val="333333"/>
          <w:sz w:val="20"/>
          <w:szCs w:val="20"/>
        </w:rPr>
        <w:t>日发布的《关于修改〈深圳证券交易所股票上市规则〉〈深圳证券交易所创业板股票上市规则〉有关条款的通知》（深证上〔</w:t>
      </w:r>
      <w:r>
        <w:rPr>
          <w:rFonts w:ascii="΢���ź�" w:hAnsi="΢���ź�"/>
          <w:color w:val="333333"/>
          <w:sz w:val="20"/>
          <w:szCs w:val="20"/>
        </w:rPr>
        <w:t>2019</w:t>
      </w:r>
      <w:r>
        <w:rPr>
          <w:rFonts w:ascii="΢���ź�" w:hAnsi="΢���ź�"/>
          <w:color w:val="333333"/>
          <w:sz w:val="20"/>
          <w:szCs w:val="20"/>
        </w:rPr>
        <w:t>〕</w:t>
      </w:r>
      <w:r>
        <w:rPr>
          <w:rFonts w:ascii="΢���ź�" w:hAnsi="΢���ź�"/>
          <w:color w:val="333333"/>
          <w:sz w:val="20"/>
          <w:szCs w:val="20"/>
        </w:rPr>
        <w:t>245</w:t>
      </w:r>
      <w:r>
        <w:rPr>
          <w:rFonts w:ascii="΢���ź�" w:hAnsi="΢���ź�"/>
          <w:color w:val="333333"/>
          <w:sz w:val="20"/>
          <w:szCs w:val="20"/>
        </w:rPr>
        <w:t>号）同时废止。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为确保新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顺利施行，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作出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以下具体安排：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一、新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前股票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已暂停上市的公司，适用原规则标准和程序及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原配套业务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规则实施恢复上市或终止上市及退市整理期安排。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二、对新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第十四章第三节及第</w:t>
      </w:r>
      <w:r>
        <w:rPr>
          <w:rFonts w:ascii="΢���ź�" w:hAnsi="΢���ź�"/>
          <w:color w:val="333333"/>
          <w:sz w:val="20"/>
          <w:szCs w:val="20"/>
        </w:rPr>
        <w:t>14.5.2</w:t>
      </w:r>
      <w:r>
        <w:rPr>
          <w:rFonts w:ascii="΢���ź�" w:hAnsi="΢���ź�"/>
          <w:color w:val="333333"/>
          <w:sz w:val="20"/>
          <w:szCs w:val="20"/>
        </w:rPr>
        <w:t>条第（四）项规定的退市指标及退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警示情形，以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年作为第一个会计年度起算。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三、对新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第</w:t>
      </w:r>
      <w:r>
        <w:rPr>
          <w:rFonts w:ascii="΢���ź�" w:hAnsi="΢���ź�"/>
          <w:color w:val="333333"/>
          <w:sz w:val="20"/>
          <w:szCs w:val="20"/>
        </w:rPr>
        <w:t>14.2.1</w:t>
      </w:r>
      <w:r>
        <w:rPr>
          <w:rFonts w:ascii="΢���ź�" w:hAnsi="΢���ź�"/>
          <w:color w:val="333333"/>
          <w:sz w:val="20"/>
          <w:szCs w:val="20"/>
        </w:rPr>
        <w:t>条第（六）项规定的退市指标，自</w:t>
      </w:r>
      <w:r>
        <w:rPr>
          <w:rFonts w:ascii="΢���ź�" w:hAnsi="΢���ź�"/>
          <w:color w:val="333333"/>
          <w:sz w:val="20"/>
          <w:szCs w:val="20"/>
        </w:rPr>
        <w:t>2021</w:t>
      </w:r>
      <w:r>
        <w:rPr>
          <w:rFonts w:ascii="΢���ź�" w:hAnsi="΢���ź�"/>
          <w:color w:val="333333"/>
          <w:sz w:val="20"/>
          <w:szCs w:val="20"/>
        </w:rPr>
        <w:t>年</w:t>
      </w:r>
      <w:r>
        <w:rPr>
          <w:rFonts w:ascii="΢���ź�" w:hAnsi="΢���ź�"/>
          <w:color w:val="333333"/>
          <w:sz w:val="20"/>
          <w:szCs w:val="20"/>
        </w:rPr>
        <w:t>7</w:t>
      </w:r>
      <w:r>
        <w:rPr>
          <w:rFonts w:ascii="΢���ź�" w:hAnsi="΢���ź�"/>
          <w:color w:val="333333"/>
          <w:sz w:val="20"/>
          <w:szCs w:val="20"/>
        </w:rPr>
        <w:t>月</w:t>
      </w:r>
      <w:r>
        <w:rPr>
          <w:rFonts w:ascii="΢���ź�" w:hAnsi="΢���ź�"/>
          <w:color w:val="333333"/>
          <w:sz w:val="20"/>
          <w:szCs w:val="20"/>
        </w:rPr>
        <w:t>1</w:t>
      </w:r>
      <w:r>
        <w:rPr>
          <w:rFonts w:ascii="΢���ź�" w:hAnsi="΢���ź�"/>
          <w:color w:val="333333"/>
          <w:sz w:val="20"/>
          <w:szCs w:val="20"/>
        </w:rPr>
        <w:t>日起计算相关期限；对于新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施行前（含施行当日）收盘价低于</w:t>
      </w:r>
      <w:r>
        <w:rPr>
          <w:rFonts w:ascii="΢���ź�" w:hAnsi="΢���ź�"/>
          <w:color w:val="333333"/>
          <w:sz w:val="20"/>
          <w:szCs w:val="20"/>
        </w:rPr>
        <w:t>1</w:t>
      </w:r>
      <w:r>
        <w:rPr>
          <w:rFonts w:ascii="΢���ź�" w:hAnsi="΢���ź�"/>
          <w:color w:val="333333"/>
          <w:sz w:val="20"/>
          <w:szCs w:val="20"/>
        </w:rPr>
        <w:t>元的股票，新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施行前后股票收盘价连续低于</w:t>
      </w:r>
      <w:r>
        <w:rPr>
          <w:rFonts w:ascii="΢���ź�" w:hAnsi="΢���ź�"/>
          <w:color w:val="333333"/>
          <w:sz w:val="20"/>
          <w:szCs w:val="20"/>
        </w:rPr>
        <w:t>1</w:t>
      </w:r>
      <w:r>
        <w:rPr>
          <w:rFonts w:ascii="΢���ź�" w:hAnsi="΢���ź�"/>
          <w:color w:val="333333"/>
          <w:sz w:val="20"/>
          <w:szCs w:val="20"/>
        </w:rPr>
        <w:t>元的交易日连续计算；按照前述情形计算，连续二十个交易日每日股票收盘价均低于</w:t>
      </w:r>
      <w:r>
        <w:rPr>
          <w:rFonts w:ascii="΢���ź�" w:hAnsi="΢���ź�"/>
          <w:color w:val="333333"/>
          <w:sz w:val="20"/>
          <w:szCs w:val="20"/>
        </w:rPr>
        <w:t>1</w:t>
      </w:r>
      <w:r>
        <w:rPr>
          <w:rFonts w:ascii="΢���ź�" w:hAnsi="΢���ź�"/>
          <w:color w:val="333333"/>
          <w:sz w:val="20"/>
          <w:szCs w:val="20"/>
        </w:rPr>
        <w:t>元的，公司股票在被本所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作出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终止上市决定后按照原规则及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原配套业务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规则进入退市整理期交易。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四、新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前股票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已被实施退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警示以及已被实施其他风险警示的公司，在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年年度报告披露前，其股票继续实施退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警示或其他风险警示；在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年年度报告披露后，执行以下安排：（</w:t>
      </w:r>
      <w:r>
        <w:rPr>
          <w:rFonts w:ascii="΢���ź�" w:hAnsi="΢���ź�"/>
          <w:color w:val="333333"/>
          <w:sz w:val="20"/>
          <w:szCs w:val="20"/>
        </w:rPr>
        <w:t>1</w:t>
      </w:r>
      <w:r>
        <w:rPr>
          <w:rFonts w:ascii="΢���ź�" w:hAnsi="΢���ź�"/>
          <w:color w:val="333333"/>
          <w:sz w:val="20"/>
          <w:szCs w:val="20"/>
        </w:rPr>
        <w:t>）触及新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警示或其他风险警示情形的，按照新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执行；（</w:t>
      </w:r>
      <w:r>
        <w:rPr>
          <w:rFonts w:ascii="΢���ź�" w:hAnsi="΢���ź�"/>
          <w:color w:val="333333"/>
          <w:sz w:val="20"/>
          <w:szCs w:val="20"/>
        </w:rPr>
        <w:t>2</w:t>
      </w:r>
      <w:r>
        <w:rPr>
          <w:rFonts w:ascii="΢���ź�" w:hAnsi="΢���ź�"/>
          <w:color w:val="333333"/>
          <w:sz w:val="20"/>
          <w:szCs w:val="20"/>
        </w:rPr>
        <w:t>）未触及新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市风险警示但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触及原规则暂停上市标准的，对其股票实施其他风险警示，并在</w:t>
      </w:r>
      <w:r>
        <w:rPr>
          <w:rFonts w:ascii="΢���ź�" w:hAnsi="΢���ź�"/>
          <w:color w:val="333333"/>
          <w:sz w:val="20"/>
          <w:szCs w:val="20"/>
        </w:rPr>
        <w:t>2021</w:t>
      </w:r>
      <w:r>
        <w:rPr>
          <w:rFonts w:ascii="΢���ź�" w:hAnsi="΢���ź�"/>
          <w:color w:val="333333"/>
          <w:sz w:val="20"/>
          <w:szCs w:val="20"/>
        </w:rPr>
        <w:t>年年度报告披露后按新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执行，未触及新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其他风险警示情形的，撤销其他风险警示；（</w:t>
      </w:r>
      <w:r>
        <w:rPr>
          <w:rFonts w:ascii="΢���ź�" w:hAnsi="΢���ź�"/>
          <w:color w:val="333333"/>
          <w:sz w:val="20"/>
          <w:szCs w:val="20"/>
        </w:rPr>
        <w:t>3</w:t>
      </w:r>
      <w:r>
        <w:rPr>
          <w:rFonts w:ascii="΢���ź�" w:hAnsi="΢���ź�"/>
          <w:color w:val="333333"/>
          <w:sz w:val="20"/>
          <w:szCs w:val="20"/>
        </w:rPr>
        <w:t>）未触及新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市风险警示且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未触及原规则暂停上市标准的，撤销退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市风险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警示；（</w:t>
      </w:r>
      <w:r>
        <w:rPr>
          <w:rFonts w:ascii="΢���ź�" w:hAnsi="΢���ź�"/>
          <w:color w:val="333333"/>
          <w:sz w:val="20"/>
          <w:szCs w:val="20"/>
        </w:rPr>
        <w:t>4</w:t>
      </w:r>
      <w:r>
        <w:rPr>
          <w:rFonts w:ascii="΢���ź�" w:hAnsi="΢���ź�"/>
          <w:color w:val="333333"/>
          <w:sz w:val="20"/>
          <w:szCs w:val="20"/>
        </w:rPr>
        <w:t>）未触及新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其他风险警示情形的，撤销其他风险警示。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lastRenderedPageBreak/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五、新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施行前已收到行政处罚事先告知书或行政处罚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决定书且可能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触及重大违法强制退市情形的公司，适用《重大违法强制退市办法》、原规则及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原配套业务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规则实施重大违法强制退市及退市整理期安排。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六、新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施行后收到行政处罚事先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告知书且可能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触及重大违法强制退市情形的公司，依据行政处罚决定书认定的事实，公司</w:t>
      </w:r>
      <w:r>
        <w:rPr>
          <w:rFonts w:ascii="΢���ź�" w:hAnsi="΢���ź�"/>
          <w:color w:val="333333"/>
          <w:sz w:val="20"/>
          <w:szCs w:val="20"/>
        </w:rPr>
        <w:t>2015</w:t>
      </w:r>
      <w:r>
        <w:rPr>
          <w:rFonts w:ascii="΢���ź�" w:hAnsi="΢���ź�"/>
          <w:color w:val="333333"/>
          <w:sz w:val="20"/>
          <w:szCs w:val="20"/>
        </w:rPr>
        <w:t>年度至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年度内的任意连续会计年度财务指标实际已触及《重大违法强制退市办法》规定的重大违法强制退市情形的，本所对其股票实施重大违法强制退市；公司在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年度及以后年度中的任意连续会计年度财务类指标实际已触及新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重大违法强制退市情形的，本所对其股票实施重大违法强制退市。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七、判断公司是否触及新</w:t>
      </w:r>
      <w:proofErr w:type="gramStart"/>
      <w:r>
        <w:rPr>
          <w:rFonts w:ascii="΢���ź�" w:hAnsi="΢���ź�"/>
          <w:color w:val="333333"/>
          <w:sz w:val="20"/>
          <w:szCs w:val="20"/>
        </w:rPr>
        <w:t>规</w:t>
      </w:r>
      <w:proofErr w:type="gramEnd"/>
      <w:r>
        <w:rPr>
          <w:rFonts w:ascii="΢���ź�" w:hAnsi="΢���ź�"/>
          <w:color w:val="333333"/>
          <w:sz w:val="20"/>
          <w:szCs w:val="20"/>
        </w:rPr>
        <w:t>第</w:t>
      </w:r>
      <w:r>
        <w:rPr>
          <w:rFonts w:ascii="΢���ź�" w:hAnsi="΢���ź�"/>
          <w:color w:val="333333"/>
          <w:sz w:val="20"/>
          <w:szCs w:val="20"/>
        </w:rPr>
        <w:t>13.3</w:t>
      </w:r>
      <w:r>
        <w:rPr>
          <w:rFonts w:ascii="΢���ź�" w:hAnsi="΢���ź�"/>
          <w:color w:val="333333"/>
          <w:sz w:val="20"/>
          <w:szCs w:val="20"/>
        </w:rPr>
        <w:t>条第（四）项、第（六）项规定的其他风险警示情形时，以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年为最近一个会计年度，以</w:t>
      </w:r>
      <w:r>
        <w:rPr>
          <w:rFonts w:ascii="΢���ź�" w:hAnsi="΢���ź�"/>
          <w:color w:val="333333"/>
          <w:sz w:val="20"/>
          <w:szCs w:val="20"/>
        </w:rPr>
        <w:t>2018</w:t>
      </w:r>
      <w:r>
        <w:rPr>
          <w:rFonts w:ascii="΢���ź�" w:hAnsi="΢���ź�"/>
          <w:color w:val="333333"/>
          <w:sz w:val="20"/>
          <w:szCs w:val="20"/>
        </w:rPr>
        <w:t>年至</w:t>
      </w:r>
      <w:r>
        <w:rPr>
          <w:rFonts w:ascii="΢���ź�" w:hAnsi="΢���ź�"/>
          <w:color w:val="333333"/>
          <w:sz w:val="20"/>
          <w:szCs w:val="20"/>
        </w:rPr>
        <w:t>2020</w:t>
      </w:r>
      <w:r>
        <w:rPr>
          <w:rFonts w:ascii="΢���ź�" w:hAnsi="΢���ź�"/>
          <w:color w:val="333333"/>
          <w:sz w:val="20"/>
          <w:szCs w:val="20"/>
        </w:rPr>
        <w:t>年为最近三个会计年度。</w:t>
      </w:r>
      <w:r>
        <w:rPr>
          <w:rFonts w:ascii="΢���ź�" w:hAnsi="΢���ź�"/>
          <w:color w:val="333333"/>
          <w:sz w:val="20"/>
          <w:szCs w:val="20"/>
        </w:rPr>
        <w:br/>
      </w:r>
      <w:r>
        <w:rPr>
          <w:rFonts w:ascii="΢���ź�" w:hAnsi="΢���ź�"/>
          <w:color w:val="333333"/>
          <w:sz w:val="20"/>
          <w:szCs w:val="20"/>
        </w:rPr>
        <w:t xml:space="preserve">    </w:t>
      </w:r>
      <w:r>
        <w:rPr>
          <w:rFonts w:ascii="΢���ź�" w:hAnsi="΢���ź�"/>
          <w:color w:val="333333"/>
          <w:sz w:val="20"/>
          <w:szCs w:val="20"/>
        </w:rPr>
        <w:t>特此通知</w:t>
      </w:r>
    </w:p>
    <w:p w14:paraId="3E155C07" w14:textId="77777777" w:rsidR="00F66D11" w:rsidRPr="00F66D11" w:rsidRDefault="00F66D11" w:rsidP="00F66D11">
      <w:pPr>
        <w:widowControl/>
        <w:shd w:val="clear" w:color="auto" w:fill="FFFFFF"/>
        <w:spacing w:line="345" w:lineRule="atLeast"/>
        <w:jc w:val="right"/>
        <w:rPr>
          <w:rFonts w:ascii="΢���ź�" w:eastAsia="宋体" w:hAnsi="΢���ź�" w:cs="宋体"/>
          <w:color w:val="333333"/>
          <w:kern w:val="0"/>
          <w:sz w:val="24"/>
          <w:szCs w:val="24"/>
          <w14:ligatures w14:val="none"/>
        </w:rPr>
      </w:pPr>
      <w:r w:rsidRPr="00F66D11">
        <w:rPr>
          <w:rFonts w:ascii="宋体" w:eastAsia="宋体" w:hAnsi="宋体" w:cs="宋体" w:hint="eastAsia"/>
          <w:color w:val="333333"/>
          <w:kern w:val="0"/>
          <w:sz w:val="20"/>
          <w:szCs w:val="20"/>
          <w14:ligatures w14:val="none"/>
        </w:rPr>
        <w:t>深圳证券交易所</w:t>
      </w:r>
    </w:p>
    <w:p w14:paraId="547840C6" w14:textId="77777777" w:rsidR="00F66D11" w:rsidRPr="00F66D11" w:rsidRDefault="00F66D11" w:rsidP="00F66D11">
      <w:pPr>
        <w:widowControl/>
        <w:shd w:val="clear" w:color="auto" w:fill="FFFFFF"/>
        <w:jc w:val="right"/>
        <w:rPr>
          <w:rFonts w:ascii="΢���ź�" w:eastAsia="宋体" w:hAnsi="΢���ź�" w:cs="宋体"/>
          <w:color w:val="333333"/>
          <w:kern w:val="0"/>
          <w:sz w:val="24"/>
          <w:szCs w:val="24"/>
          <w14:ligatures w14:val="none"/>
        </w:rPr>
      </w:pPr>
      <w:r w:rsidRPr="00F66D11">
        <w:rPr>
          <w:rFonts w:ascii="宋体" w:eastAsia="宋体" w:hAnsi="宋体" w:cs="宋体" w:hint="eastAsia"/>
          <w:color w:val="333333"/>
          <w:kern w:val="0"/>
          <w:sz w:val="20"/>
          <w:szCs w:val="20"/>
          <w14:ligatures w14:val="none"/>
        </w:rPr>
        <w:t xml:space="preserve">　　</w:t>
      </w:r>
      <w:r w:rsidRPr="00F66D1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  <w14:ligatures w14:val="none"/>
        </w:rPr>
        <w:t>2020</w:t>
      </w:r>
      <w:r w:rsidRPr="00F66D11">
        <w:rPr>
          <w:rFonts w:ascii="宋体" w:eastAsia="宋体" w:hAnsi="宋体" w:cs="宋体" w:hint="eastAsia"/>
          <w:color w:val="333333"/>
          <w:kern w:val="0"/>
          <w:sz w:val="20"/>
          <w:szCs w:val="20"/>
          <w14:ligatures w14:val="none"/>
        </w:rPr>
        <w:t>年</w:t>
      </w:r>
      <w:r w:rsidRPr="00F66D1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  <w14:ligatures w14:val="none"/>
        </w:rPr>
        <w:t>12</w:t>
      </w:r>
      <w:r w:rsidRPr="00F66D11">
        <w:rPr>
          <w:rFonts w:ascii="宋体" w:eastAsia="宋体" w:hAnsi="宋体" w:cs="宋体" w:hint="eastAsia"/>
          <w:color w:val="333333"/>
          <w:kern w:val="0"/>
          <w:sz w:val="20"/>
          <w:szCs w:val="20"/>
          <w14:ligatures w14:val="none"/>
        </w:rPr>
        <w:t>月</w:t>
      </w:r>
      <w:r w:rsidRPr="00F66D11">
        <w:rPr>
          <w:rFonts w:ascii="微软雅黑" w:eastAsia="微软雅黑" w:hAnsi="微软雅黑" w:cs="宋体" w:hint="eastAsia"/>
          <w:color w:val="333333"/>
          <w:kern w:val="0"/>
          <w:sz w:val="20"/>
          <w:szCs w:val="20"/>
          <w14:ligatures w14:val="none"/>
        </w:rPr>
        <w:t>31</w:t>
      </w:r>
      <w:r w:rsidRPr="00F66D11">
        <w:rPr>
          <w:rFonts w:ascii="宋体" w:eastAsia="宋体" w:hAnsi="宋体" w:cs="宋体" w:hint="eastAsia"/>
          <w:color w:val="333333"/>
          <w:kern w:val="0"/>
          <w:sz w:val="20"/>
          <w:szCs w:val="20"/>
          <w14:ligatures w14:val="none"/>
        </w:rPr>
        <w:t>日</w:t>
      </w:r>
    </w:p>
    <w:p w14:paraId="092D60A3" w14:textId="77777777" w:rsidR="00E77C7E" w:rsidRPr="00F66D11" w:rsidRDefault="00E77C7E" w:rsidP="00F66D11">
      <w:pPr>
        <w:jc w:val="right"/>
      </w:pPr>
    </w:p>
    <w:p w14:paraId="623414B6" w14:textId="77777777" w:rsidR="00F66D11" w:rsidRPr="00F66D11" w:rsidRDefault="00F66D11">
      <w:pPr>
        <w:rPr>
          <w:rFonts w:hint="eastAsia"/>
        </w:rPr>
      </w:pPr>
    </w:p>
    <w:sectPr w:rsidR="00F66D11" w:rsidRPr="00F6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΢���ź�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D11"/>
    <w:rsid w:val="000728F4"/>
    <w:rsid w:val="001C1EC6"/>
    <w:rsid w:val="00254324"/>
    <w:rsid w:val="00464ED2"/>
    <w:rsid w:val="005D6BF1"/>
    <w:rsid w:val="00E00CC1"/>
    <w:rsid w:val="00E77C7E"/>
    <w:rsid w:val="00F6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9C25"/>
  <w15:chartTrackingRefBased/>
  <w15:docId w15:val="{52CE96CA-768A-4888-A482-8C863B7F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6D1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D1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66D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Ginia Swen</dc:creator>
  <cp:keywords/>
  <dc:description/>
  <cp:lastModifiedBy>Ginia Swen</cp:lastModifiedBy>
  <cp:revision>1</cp:revision>
  <dcterms:created xsi:type="dcterms:W3CDTF">2024-06-06T01:54:00Z</dcterms:created>
  <dcterms:modified xsi:type="dcterms:W3CDTF">2024-06-06T01:56:00Z</dcterms:modified>
</cp:coreProperties>
</file>