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  <w:lang w:val="zh-CN"/>
        </w:rPr>
        <w:t>广州法院线上诉讼服务指引</w:t>
      </w:r>
    </w:p>
    <w:p>
      <w:pPr>
        <w:spacing w:line="360" w:lineRule="auto"/>
        <w:rPr>
          <w:rFonts w:hint="eastAsia" w:ascii="宋体" w:hAnsi="宋体"/>
          <w:b/>
          <w:sz w:val="24"/>
        </w:rPr>
      </w:pPr>
      <w:bookmarkStart w:id="0" w:name="_GoBack"/>
      <w:bookmarkEnd w:id="0"/>
    </w:p>
    <w:p>
      <w:pPr>
        <w:spacing w:line="360" w:lineRule="auto"/>
        <w:ind w:firstLine="480" w:firstLineChars="200"/>
        <w:rPr>
          <w:rFonts w:hint="eastAsia"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一 网上立案平台操作指引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（建议在IE8及IE8以上的浏览器或者360浏览器使用网上申请立案功能，民事案件和执行案件的操作类似，这里展示的是民事案件网上申请立案的操作）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（一）当事人登录平台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1.在广州法院网诉讼服务中心页面，点击【网上立案】按钮进行网上立案操作（图1）；</w:t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76850" cy="31718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图1</w:t>
      </w: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.该页面有2个功能区，上面的是“申请立案”区，下面是申请立案后的“进展查询”区。“申请立案区”分为民商事一审和执行案件选项，根据实际情况选择相对应选项，右侧可点击查看立案所需材料，“进展查询区”可在网上申请立案后根据案件编号、身份证号、手机号码及查询密码查询申请立案情况（图2）；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76850" cy="34861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图2</w:t>
      </w:r>
    </w:p>
    <w:p>
      <w:pPr>
        <w:spacing w:line="360" w:lineRule="auto"/>
        <w:jc w:val="center"/>
        <w:rPr>
          <w:rFonts w:hint="eastAsia" w:ascii="宋体" w:hAnsi="宋体"/>
          <w:sz w:val="24"/>
        </w:rPr>
      </w:pPr>
    </w:p>
    <w:p>
      <w:pPr>
        <w:spacing w:line="360" w:lineRule="auto"/>
        <w:jc w:val="center"/>
        <w:rPr>
          <w:rFonts w:hint="eastAsia" w:ascii="宋体" w:hAnsi="宋体"/>
          <w:sz w:val="24"/>
        </w:rPr>
      </w:pPr>
    </w:p>
    <w:p>
      <w:pPr>
        <w:spacing w:line="360" w:lineRule="auto"/>
        <w:jc w:val="center"/>
        <w:rPr>
          <w:rFonts w:hint="eastAsia" w:ascii="宋体" w:hAnsi="宋体"/>
          <w:sz w:val="24"/>
        </w:rPr>
      </w:pPr>
    </w:p>
    <w:p>
      <w:pPr>
        <w:spacing w:line="360" w:lineRule="auto"/>
        <w:jc w:val="center"/>
        <w:rPr>
          <w:rFonts w:hint="eastAsia" w:ascii="宋体" w:hAnsi="宋体"/>
          <w:sz w:val="24"/>
        </w:rPr>
      </w:pPr>
    </w:p>
    <w:p>
      <w:pPr>
        <w:spacing w:line="360" w:lineRule="auto"/>
        <w:jc w:val="center"/>
        <w:rPr>
          <w:rFonts w:hint="eastAsia" w:ascii="宋体" w:hAnsi="宋体"/>
          <w:sz w:val="24"/>
        </w:rPr>
      </w:pPr>
    </w:p>
    <w:p>
      <w:pPr>
        <w:spacing w:line="360" w:lineRule="auto"/>
        <w:jc w:val="center"/>
        <w:rPr>
          <w:rFonts w:hint="eastAsia" w:ascii="宋体" w:hAnsi="宋体"/>
          <w:sz w:val="24"/>
        </w:rPr>
      </w:pPr>
    </w:p>
    <w:p>
      <w:pPr>
        <w:spacing w:line="360" w:lineRule="auto"/>
        <w:jc w:val="center"/>
        <w:rPr>
          <w:rFonts w:hint="eastAsia" w:ascii="宋体" w:hAnsi="宋体"/>
          <w:sz w:val="24"/>
        </w:rPr>
      </w:pPr>
    </w:p>
    <w:p>
      <w:pPr>
        <w:spacing w:line="360" w:lineRule="auto"/>
        <w:jc w:val="center"/>
        <w:rPr>
          <w:rFonts w:hint="eastAsia" w:ascii="宋体" w:hAnsi="宋体"/>
          <w:sz w:val="24"/>
        </w:rPr>
      </w:pPr>
    </w:p>
    <w:p>
      <w:pPr>
        <w:spacing w:line="360" w:lineRule="auto"/>
        <w:jc w:val="center"/>
        <w:rPr>
          <w:rFonts w:hint="eastAsia" w:ascii="宋体" w:hAnsi="宋体"/>
          <w:sz w:val="24"/>
        </w:rPr>
      </w:pPr>
    </w:p>
    <w:p>
      <w:pPr>
        <w:spacing w:line="360" w:lineRule="auto"/>
        <w:jc w:val="center"/>
        <w:rPr>
          <w:rFonts w:hint="eastAsia" w:ascii="宋体" w:hAnsi="宋体"/>
          <w:sz w:val="24"/>
        </w:rPr>
      </w:pPr>
    </w:p>
    <w:p>
      <w:pPr>
        <w:spacing w:line="360" w:lineRule="auto"/>
        <w:jc w:val="center"/>
        <w:rPr>
          <w:rFonts w:hint="eastAsia" w:ascii="宋体" w:hAnsi="宋体"/>
          <w:sz w:val="24"/>
        </w:rPr>
      </w:pPr>
    </w:p>
    <w:p>
      <w:pPr>
        <w:spacing w:line="360" w:lineRule="auto"/>
        <w:jc w:val="center"/>
        <w:rPr>
          <w:rFonts w:hint="eastAsia"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3.选择申请立案后，在“受理法院”页面，选择该案件要提交的法院（图3）；</w:t>
      </w:r>
    </w:p>
    <w:p>
      <w:pPr>
        <w:spacing w:line="360" w:lineRule="auto"/>
        <w:ind w:left="420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85725</wp:posOffset>
            </wp:positionV>
            <wp:extent cx="5276850" cy="3375660"/>
            <wp:effectExtent l="0" t="0" r="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图3</w:t>
      </w: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4.在“受理法院”页面，选择该申请记录的案由（图4）；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76850" cy="328612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图4</w:t>
      </w:r>
    </w:p>
    <w:p>
      <w:pPr>
        <w:spacing w:line="360" w:lineRule="auto"/>
        <w:jc w:val="center"/>
        <w:rPr>
          <w:rFonts w:hint="eastAsia"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5.阅读完“诚信诉讼及信用风险提示”后，请勾选“已阅读诚信诉讼及信用风险提示”（图5）；</w:t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76850" cy="34575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图5</w:t>
      </w:r>
    </w:p>
    <w:p>
      <w:pPr>
        <w:jc w:val="center"/>
        <w:rPr>
          <w:rFonts w:hint="eastAsia"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6.填好信息后，点击【下一步】进入“申请人信息”填写页面（图6）；</w:t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76850" cy="35623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图6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7.申请人信息界面分为首次申请和非首次申请，如果是首次申请网上立案，选择【注册】按钮后按照页面需要填写的信息进行填写（图7）；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备注：短信验证码只能发送广东省内的全网通和广东省外的中国移动</w:t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76850" cy="37909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图7</w:t>
      </w: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8.如果是非首次申请，可以点击【登录】按钮，填写之前注册的“证件号码”及“查询密码”后填写验证码进行登录（图8）；</w:t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76850" cy="34099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图8</w:t>
      </w: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9.在“当事人信息”页面分别有原告、被告、申请人等诉讼地位选择，选择相对应的诉讼地位后填写该案件的当事人信息，如有需要可增加当事人（图9）；</w:t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76850" cy="31718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图9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10.在“代理人信息”页面填写代理人信息，如果没有可以点击【跳过这一步】按钮跳过这一环节（图10）；</w:t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67325" cy="32194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图10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11.在“诉讼请求及材料”页面填写“诉讼请求”及上传“诉讼材料”（图11）；</w:t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67325" cy="36576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图11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12.点击材料类别后，点击【添加】按钮上传附件，附件不能超过3M。右侧有查看图片的功能区，可进行图片的方向编辑，编辑后请点击【保存】按钮，文件上传完成后点击【返回】按钮，可继续选择其他材料的上传（图12）；</w:t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76850" cy="35242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图12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13.如果还要上传其他的材料类别的文件，可以点击【更多】按钮，页面会展开更多的材料类别进行选择，完成材料上传工作后，选择【下一步】（图13）；</w:t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76850" cy="33337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图13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14.在“信息确认”页面，核对相关信息，确认该申请记录无误后，点击【提交法院审查】按钮，提交给之前在“受理法院”页面选择的法院进行审查（图14）。</w:t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543550" cy="66675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图14</w:t>
      </w: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（二）律师通服务平台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登录</w:t>
      </w:r>
    </w:p>
    <w:p>
      <w:pPr>
        <w:pStyle w:val="9"/>
        <w:spacing w:line="360" w:lineRule="auto"/>
        <w:ind w:firstLine="48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1）在广州法院网诉讼服务中心页面，律师在“当事人登录区”点击【律师通服务平台】登录（图15），或在诉讼服务系统首页点击【网上立案】功能（图16），进入网上立案页面的【代理人律师立案入口】功能（图17）跳转到【律师通服务平台】登录；</w:t>
      </w:r>
    </w:p>
    <w:p>
      <w:pPr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76850" cy="22574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图15</w:t>
      </w:r>
    </w:p>
    <w:p>
      <w:pPr>
        <w:jc w:val="left"/>
        <w:rPr>
          <w:rFonts w:hint="eastAsia" w:ascii="宋体" w:hAnsi="宋体"/>
          <w:sz w:val="24"/>
        </w:rPr>
      </w:pPr>
    </w:p>
    <w:p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76850" cy="23145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图16</w:t>
      </w:r>
    </w:p>
    <w:p>
      <w:pPr>
        <w:jc w:val="left"/>
        <w:rPr>
          <w:rFonts w:hint="eastAsia" w:ascii="宋体" w:hAnsi="宋体"/>
          <w:sz w:val="24"/>
        </w:rPr>
      </w:pPr>
    </w:p>
    <w:p>
      <w:pPr>
        <w:spacing w:line="360" w:lineRule="auto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76850" cy="29813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图17</w:t>
      </w:r>
    </w:p>
    <w:p>
      <w:pPr>
        <w:jc w:val="left"/>
        <w:rPr>
          <w:rFonts w:hint="eastAsia" w:ascii="宋体" w:hAnsi="宋体"/>
          <w:sz w:val="24"/>
        </w:rPr>
      </w:pPr>
    </w:p>
    <w:p>
      <w:pPr>
        <w:pStyle w:val="9"/>
        <w:spacing w:line="360" w:lineRule="auto"/>
        <w:ind w:firstLine="48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（2）律师可以用身份证号和执业证号作为账号进行登录，广州地区律师的初始密码是身份证号后六位，若没有对应的账号，可以自行注册使用（图18）。如遗忘密码，可选择“忘记密码”进行后续操作。</w:t>
      </w:r>
    </w:p>
    <w:p>
      <w:pPr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76850" cy="28384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图18</w:t>
      </w: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pStyle w:val="9"/>
        <w:numPr>
          <w:ilvl w:val="0"/>
          <w:numId w:val="1"/>
        </w:numPr>
        <w:spacing w:line="360" w:lineRule="auto"/>
        <w:ind w:left="0" w:firstLine="420" w:firstLineChars="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网上立案入口及操作</w:t>
      </w:r>
    </w:p>
    <w:p>
      <w:pPr>
        <w:pStyle w:val="9"/>
        <w:spacing w:line="360" w:lineRule="auto"/>
        <w:ind w:firstLine="48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（1）登录律师通服务平台后，点击【申请】按钮</w:t>
      </w:r>
      <w:r>
        <w:rPr>
          <w:rFonts w:hint="eastAsia" w:ascii="宋体" w:hAnsi="宋体"/>
          <w:sz w:val="24"/>
          <w:szCs w:val="24"/>
        </w:rPr>
        <w:sym w:font="Wingdings" w:char="F0E0"/>
      </w:r>
      <w:r>
        <w:rPr>
          <w:rFonts w:hint="eastAsia" w:ascii="宋体" w:hAnsi="宋体"/>
          <w:sz w:val="24"/>
          <w:szCs w:val="24"/>
        </w:rPr>
        <w:t>点击【网上立案】按钮（图19），会自动进入网上立案系统；</w:t>
      </w:r>
    </w:p>
    <w:p>
      <w:pPr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76850" cy="36385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图19</w:t>
      </w:r>
    </w:p>
    <w:p>
      <w:pPr>
        <w:pStyle w:val="9"/>
        <w:spacing w:line="360" w:lineRule="auto"/>
        <w:ind w:firstLine="48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2）跳转到该页面后分为左侧“菜单栏”、右上“案件状态区”（可以看见代理案件状态的数量）及右下“立案区”，点左侧菜单栏的【申请立案】按钮，或直接点右侧申请立案区的两个【申请立案】按钮立对应的案件类型（图20）；</w:t>
      </w:r>
    </w:p>
    <w:p>
      <w:pPr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343525" cy="23526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图20</w:t>
      </w:r>
    </w:p>
    <w:p>
      <w:pPr>
        <w:jc w:val="left"/>
        <w:rPr>
          <w:rFonts w:hint="eastAsia" w:ascii="宋体" w:hAnsi="宋体"/>
          <w:sz w:val="24"/>
        </w:rPr>
      </w:pPr>
    </w:p>
    <w:p>
      <w:pPr>
        <w:jc w:val="left"/>
        <w:rPr>
          <w:rFonts w:hint="eastAsia" w:ascii="宋体" w:hAnsi="宋体"/>
          <w:sz w:val="24"/>
        </w:rPr>
      </w:pPr>
    </w:p>
    <w:p>
      <w:pPr>
        <w:pStyle w:val="9"/>
        <w:spacing w:line="360" w:lineRule="auto"/>
        <w:ind w:firstLineChars="0"/>
        <w:jc w:val="left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（3）在“立案”页面，可以查看或者操作自己的立案，新增立案点击【申请立案】（图21）；</w:t>
      </w:r>
    </w:p>
    <w:p>
      <w:pPr>
        <w:pStyle w:val="9"/>
        <w:ind w:firstLine="0" w:firstLineChars="0"/>
        <w:jc w:val="left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5267325" cy="17430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图21</w:t>
      </w:r>
    </w:p>
    <w:p>
      <w:pPr>
        <w:ind w:left="420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534035</wp:posOffset>
            </wp:positionV>
            <wp:extent cx="6581775" cy="2266950"/>
            <wp:effectExtent l="0" t="0" r="9525" b="0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t>（4）点击【申请立案】后，在弹出的窗口页面选择所要立案的案件类按钮（图22）；</w:t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图22</w:t>
      </w:r>
    </w:p>
    <w:p>
      <w:pPr>
        <w:ind w:left="420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（5）在“立案”界面，选择受理法院和立案案由（图23）；</w:t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102870</wp:posOffset>
            </wp:positionV>
            <wp:extent cx="6386830" cy="2643505"/>
            <wp:effectExtent l="0" t="0" r="0" b="4445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t>图23</w:t>
      </w:r>
    </w:p>
    <w:p>
      <w:pPr>
        <w:pStyle w:val="5"/>
        <w:spacing w:line="360" w:lineRule="auto"/>
        <w:ind w:firstLine="480" w:firstLineChars="200"/>
        <w:jc w:val="left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t>（6）在“立案”界面，诉讼材料下，点击目录下的+号（图24），引入相对应的材料（格式支持jpg、jpeg、png、pdf，上传单个文件大小限制为 20M）；</w:t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495925" cy="24193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图24</w:t>
      </w:r>
    </w:p>
    <w:p>
      <w:pPr>
        <w:jc w:val="center"/>
        <w:rPr>
          <w:rFonts w:hint="eastAsia" w:ascii="宋体" w:hAnsi="宋体"/>
          <w:sz w:val="24"/>
        </w:rPr>
      </w:pPr>
    </w:p>
    <w:p>
      <w:pPr>
        <w:pStyle w:val="5"/>
        <w:spacing w:line="360" w:lineRule="auto"/>
        <w:ind w:firstLine="480" w:firstLineChars="200"/>
        <w:jc w:val="left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t>（7）如果需要上传其他类别的材料，可以点击【新增材料类别】新增，点击【智能提取信息】（图25）可以将材料的信息提取到当事人信息和案件信息（提取的信息请核对无误后再提交法院审核）；</w:t>
      </w:r>
    </w:p>
    <w:p>
      <w:pPr>
        <w:pStyle w:val="5"/>
        <w:jc w:val="center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120015</wp:posOffset>
            </wp:positionV>
            <wp:extent cx="6206490" cy="2707640"/>
            <wp:effectExtent l="0" t="0" r="3810" b="0"/>
            <wp:wrapTight wrapText="bothSides">
              <wp:wrapPolygon>
                <wp:start x="0" y="0"/>
                <wp:lineTo x="0" y="21428"/>
                <wp:lineTo x="21547" y="21428"/>
                <wp:lineTo x="21547" y="0"/>
                <wp:lineTo x="0" y="0"/>
              </wp:wrapPolygon>
            </wp:wrapTight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4"/>
        </w:rPr>
        <w:t>图25</w:t>
      </w:r>
    </w:p>
    <w:p>
      <w:pPr>
        <w:pStyle w:val="5"/>
        <w:jc w:val="center"/>
        <w:rPr>
          <w:rFonts w:hint="eastAsia" w:ascii="宋体" w:hAnsi="宋体"/>
          <w:szCs w:val="24"/>
        </w:rPr>
      </w:pPr>
    </w:p>
    <w:p>
      <w:pPr>
        <w:pStyle w:val="5"/>
        <w:jc w:val="center"/>
        <w:rPr>
          <w:rFonts w:hint="eastAsia" w:ascii="宋体" w:hAnsi="宋体"/>
          <w:szCs w:val="24"/>
        </w:rPr>
      </w:pPr>
    </w:p>
    <w:p>
      <w:pPr>
        <w:pStyle w:val="5"/>
        <w:jc w:val="center"/>
        <w:rPr>
          <w:rFonts w:hint="eastAsia" w:ascii="宋体" w:hAnsi="宋体"/>
          <w:szCs w:val="24"/>
        </w:rPr>
      </w:pPr>
    </w:p>
    <w:p>
      <w:pPr>
        <w:pStyle w:val="5"/>
        <w:jc w:val="center"/>
        <w:rPr>
          <w:rFonts w:hint="eastAsia" w:ascii="宋体" w:hAnsi="宋体"/>
          <w:szCs w:val="24"/>
        </w:rPr>
      </w:pPr>
    </w:p>
    <w:p>
      <w:pPr>
        <w:pStyle w:val="5"/>
        <w:jc w:val="center"/>
        <w:rPr>
          <w:rFonts w:hint="eastAsia" w:ascii="宋体" w:hAnsi="宋体"/>
          <w:szCs w:val="24"/>
        </w:rPr>
      </w:pPr>
    </w:p>
    <w:p>
      <w:pPr>
        <w:pStyle w:val="5"/>
        <w:rPr>
          <w:rFonts w:hint="eastAsia" w:ascii="宋体" w:hAnsi="宋体"/>
          <w:szCs w:val="24"/>
        </w:rPr>
      </w:pPr>
    </w:p>
    <w:p>
      <w:pPr>
        <w:pStyle w:val="5"/>
        <w:spacing w:line="360" w:lineRule="auto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t>（8）在“立案”页面，填写当事人信息，将鼠标移动到要代理的当事人，勾选中间的方框即可视为代理该当事人（图26）；</w:t>
      </w:r>
    </w:p>
    <w:p>
      <w:pPr>
        <w:pStyle w:val="5"/>
        <w:jc w:val="center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inline distT="0" distB="0" distL="0" distR="0">
            <wp:extent cx="5276850" cy="2286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4"/>
        </w:rPr>
        <w:t>图26</w:t>
      </w:r>
    </w:p>
    <w:p>
      <w:pPr>
        <w:pStyle w:val="5"/>
        <w:jc w:val="left"/>
        <w:rPr>
          <w:rFonts w:hint="eastAsia" w:ascii="宋体" w:hAnsi="宋体"/>
          <w:bCs/>
          <w:szCs w:val="24"/>
        </w:rPr>
      </w:pPr>
    </w:p>
    <w:p>
      <w:pPr>
        <w:pStyle w:val="5"/>
        <w:jc w:val="left"/>
        <w:rPr>
          <w:rFonts w:hint="eastAsia" w:ascii="宋体" w:hAnsi="宋体"/>
          <w:bCs/>
          <w:szCs w:val="24"/>
        </w:rPr>
      </w:pPr>
    </w:p>
    <w:p>
      <w:pPr>
        <w:pStyle w:val="5"/>
        <w:spacing w:line="360" w:lineRule="auto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t>（9）在“立案”页面填写“诉讼标的金额”和“诉讼请求”，阅读完《诚信诉讼及信用风险提示》和《诉讼风险提示》后，请勾选《诚信诉讼及信用风险提示》和《诉讼风险提示》，所有信息确认无误后，点【提交法院审核】（图27）；</w:t>
      </w:r>
    </w:p>
    <w:p>
      <w:pPr>
        <w:pStyle w:val="5"/>
        <w:jc w:val="left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inline distT="0" distB="0" distL="0" distR="0">
            <wp:extent cx="5943600" cy="26098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t>图27</w:t>
      </w:r>
    </w:p>
    <w:p>
      <w:pPr>
        <w:pStyle w:val="5"/>
        <w:jc w:val="center"/>
        <w:rPr>
          <w:rFonts w:hint="eastAsia" w:ascii="宋体" w:hAnsi="宋体"/>
          <w:szCs w:val="24"/>
        </w:rPr>
      </w:pPr>
    </w:p>
    <w:p>
      <w:pPr>
        <w:pStyle w:val="5"/>
        <w:jc w:val="center"/>
        <w:rPr>
          <w:rFonts w:hint="eastAsia" w:ascii="宋体" w:hAnsi="宋体"/>
          <w:szCs w:val="24"/>
        </w:rPr>
      </w:pPr>
    </w:p>
    <w:p>
      <w:pPr>
        <w:pStyle w:val="5"/>
        <w:jc w:val="center"/>
        <w:rPr>
          <w:rFonts w:hint="eastAsia" w:ascii="宋体" w:hAnsi="宋体"/>
          <w:szCs w:val="24"/>
        </w:rPr>
      </w:pPr>
    </w:p>
    <w:p>
      <w:pPr>
        <w:pStyle w:val="5"/>
        <w:jc w:val="center"/>
        <w:rPr>
          <w:rFonts w:hint="eastAsia" w:ascii="宋体" w:hAnsi="宋体"/>
          <w:szCs w:val="24"/>
        </w:rPr>
      </w:pPr>
    </w:p>
    <w:p>
      <w:pPr>
        <w:pStyle w:val="5"/>
        <w:rPr>
          <w:rFonts w:hint="eastAsia" w:ascii="宋体" w:hAnsi="宋体"/>
          <w:szCs w:val="24"/>
        </w:rPr>
      </w:pPr>
    </w:p>
    <w:p>
      <w:pPr>
        <w:pStyle w:val="5"/>
        <w:rPr>
          <w:rFonts w:hint="eastAsia" w:ascii="宋体" w:hAnsi="宋体"/>
          <w:szCs w:val="24"/>
        </w:rPr>
      </w:pPr>
    </w:p>
    <w:p>
      <w:pPr>
        <w:pStyle w:val="5"/>
        <w:spacing w:line="360" w:lineRule="auto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t>（10）立案后，可回到“立案”页面查看案件状态，如果是要立多件系列案，可在“立案”页面找到相应的案件，在操作下方点击【复制】按钮即可（图28），立案步骤同上；</w:t>
      </w:r>
    </w:p>
    <w:p>
      <w:pPr>
        <w:pStyle w:val="5"/>
        <w:jc w:val="center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182880</wp:posOffset>
            </wp:positionV>
            <wp:extent cx="6666865" cy="2562225"/>
            <wp:effectExtent l="0" t="0" r="635" b="9525"/>
            <wp:wrapSquare wrapText="bothSides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686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4"/>
        </w:rPr>
        <w:t>图28</w:t>
      </w:r>
    </w:p>
    <w:p>
      <w:pPr>
        <w:pStyle w:val="5"/>
        <w:jc w:val="center"/>
        <w:rPr>
          <w:rFonts w:hint="eastAsia" w:ascii="宋体" w:hAnsi="宋体"/>
          <w:szCs w:val="24"/>
        </w:rPr>
      </w:pPr>
    </w:p>
    <w:p>
      <w:pPr>
        <w:pStyle w:val="5"/>
        <w:spacing w:line="360" w:lineRule="auto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t>（11）在“立案”页面找到相对应的案件，在操作下方点击【查看】按钮（图29），可查看案件的具体情况；</w:t>
      </w:r>
    </w:p>
    <w:p>
      <w:pPr>
        <w:pStyle w:val="5"/>
        <w:jc w:val="center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45085</wp:posOffset>
            </wp:positionV>
            <wp:extent cx="6819900" cy="2676525"/>
            <wp:effectExtent l="0" t="0" r="0" b="9525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4"/>
        </w:rPr>
        <w:t>图29</w:t>
      </w:r>
    </w:p>
    <w:p>
      <w:pPr>
        <w:pStyle w:val="5"/>
        <w:jc w:val="center"/>
        <w:rPr>
          <w:rFonts w:hint="eastAsia" w:ascii="宋体" w:hAnsi="宋体"/>
          <w:szCs w:val="24"/>
        </w:rPr>
      </w:pPr>
    </w:p>
    <w:p>
      <w:pPr>
        <w:pStyle w:val="5"/>
        <w:jc w:val="center"/>
        <w:rPr>
          <w:rFonts w:hint="eastAsia" w:ascii="宋体" w:hAnsi="宋体"/>
          <w:szCs w:val="24"/>
        </w:rPr>
      </w:pPr>
    </w:p>
    <w:p>
      <w:pPr>
        <w:pStyle w:val="5"/>
        <w:jc w:val="center"/>
        <w:rPr>
          <w:rFonts w:hint="eastAsia" w:ascii="宋体" w:hAnsi="宋体"/>
          <w:szCs w:val="24"/>
        </w:rPr>
      </w:pPr>
    </w:p>
    <w:p>
      <w:pPr>
        <w:pStyle w:val="5"/>
        <w:jc w:val="center"/>
        <w:rPr>
          <w:rFonts w:hint="eastAsia" w:ascii="宋体" w:hAnsi="宋体"/>
          <w:szCs w:val="24"/>
        </w:rPr>
      </w:pPr>
    </w:p>
    <w:p>
      <w:pPr>
        <w:pStyle w:val="5"/>
        <w:jc w:val="center"/>
        <w:rPr>
          <w:rFonts w:hint="eastAsia" w:ascii="宋体" w:hAnsi="宋体"/>
          <w:szCs w:val="24"/>
        </w:rPr>
      </w:pPr>
    </w:p>
    <w:p>
      <w:pPr>
        <w:pStyle w:val="5"/>
        <w:jc w:val="left"/>
        <w:rPr>
          <w:rFonts w:hint="eastAsia" w:ascii="宋体" w:hAnsi="宋体"/>
          <w:szCs w:val="24"/>
        </w:rPr>
      </w:pPr>
    </w:p>
    <w:p>
      <w:pPr>
        <w:pStyle w:val="5"/>
        <w:spacing w:line="360" w:lineRule="auto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t>（12）在弹出的页面可查看到案件的具体信息，分别如下：</w:t>
      </w:r>
    </w:p>
    <w:p>
      <w:pPr>
        <w:pStyle w:val="5"/>
        <w:spacing w:line="360" w:lineRule="auto"/>
        <w:ind w:firstLine="480" w:firstLineChars="200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431800</wp:posOffset>
            </wp:positionV>
            <wp:extent cx="7087235" cy="2337435"/>
            <wp:effectExtent l="0" t="0" r="0" b="5715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723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4"/>
        </w:rPr>
        <w:t>“案件信息”：可以看到案件的基本信息（图30）</w:t>
      </w:r>
    </w:p>
    <w:p>
      <w:pPr>
        <w:pStyle w:val="5"/>
        <w:jc w:val="center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t>图30</w:t>
      </w:r>
    </w:p>
    <w:p>
      <w:pPr>
        <w:pStyle w:val="5"/>
        <w:jc w:val="left"/>
        <w:rPr>
          <w:rFonts w:hint="eastAsia" w:ascii="宋体" w:hAnsi="宋体"/>
          <w:szCs w:val="24"/>
        </w:rPr>
      </w:pPr>
    </w:p>
    <w:p>
      <w:pPr>
        <w:pStyle w:val="5"/>
        <w:spacing w:line="360" w:lineRule="auto"/>
        <w:ind w:firstLine="480" w:firstLineChars="200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466090</wp:posOffset>
            </wp:positionV>
            <wp:extent cx="6217285" cy="2846705"/>
            <wp:effectExtent l="0" t="0" r="0" b="0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4"/>
        </w:rPr>
        <w:t>“当事人信息”：可以看到当事人的基本信息（图31）</w:t>
      </w:r>
    </w:p>
    <w:p>
      <w:pPr>
        <w:pStyle w:val="5"/>
        <w:jc w:val="left"/>
        <w:rPr>
          <w:rFonts w:hint="eastAsia" w:ascii="宋体" w:hAnsi="宋体"/>
          <w:szCs w:val="24"/>
        </w:rPr>
      </w:pPr>
    </w:p>
    <w:p>
      <w:pPr>
        <w:pStyle w:val="5"/>
        <w:jc w:val="center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t>图31</w:t>
      </w:r>
    </w:p>
    <w:p>
      <w:pPr>
        <w:pStyle w:val="5"/>
        <w:jc w:val="center"/>
        <w:rPr>
          <w:rFonts w:hint="eastAsia" w:ascii="宋体" w:hAnsi="宋体"/>
          <w:szCs w:val="24"/>
        </w:rPr>
      </w:pPr>
    </w:p>
    <w:p>
      <w:pPr>
        <w:pStyle w:val="5"/>
        <w:spacing w:line="360" w:lineRule="auto"/>
        <w:ind w:firstLine="480" w:firstLineChars="200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935355</wp:posOffset>
            </wp:positionV>
            <wp:extent cx="6452235" cy="2975610"/>
            <wp:effectExtent l="0" t="0" r="5715" b="0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223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4"/>
        </w:rPr>
        <w:t>“诉讼材料”：可以看到案件的所有诉讼材料（图32），图片格式的诉讼材料可以在线预览，其他格式要通过下载来查看</w:t>
      </w:r>
    </w:p>
    <w:p>
      <w:pPr>
        <w:pStyle w:val="5"/>
        <w:jc w:val="left"/>
        <w:rPr>
          <w:rFonts w:hint="eastAsia" w:ascii="宋体" w:hAnsi="宋体"/>
          <w:szCs w:val="24"/>
        </w:rPr>
      </w:pPr>
    </w:p>
    <w:p>
      <w:pPr>
        <w:pStyle w:val="5"/>
        <w:jc w:val="center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t>图32</w:t>
      </w:r>
    </w:p>
    <w:p>
      <w:pPr>
        <w:pStyle w:val="5"/>
        <w:jc w:val="center"/>
        <w:rPr>
          <w:rFonts w:hint="eastAsia" w:ascii="宋体" w:hAnsi="宋体"/>
          <w:szCs w:val="24"/>
        </w:rPr>
      </w:pPr>
    </w:p>
    <w:p>
      <w:pPr>
        <w:pStyle w:val="5"/>
        <w:jc w:val="center"/>
        <w:rPr>
          <w:rFonts w:hint="eastAsia" w:ascii="宋体" w:hAnsi="宋体"/>
          <w:szCs w:val="24"/>
        </w:rPr>
      </w:pPr>
    </w:p>
    <w:p>
      <w:pPr>
        <w:pStyle w:val="5"/>
        <w:spacing w:line="360" w:lineRule="auto"/>
        <w:ind w:firstLine="480" w:firstLineChars="200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t>“审核情况”：可以看到案件的审查结论、意见及理由（图33）</w:t>
      </w:r>
    </w:p>
    <w:p>
      <w:pPr>
        <w:pStyle w:val="5"/>
        <w:jc w:val="center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109855</wp:posOffset>
            </wp:positionV>
            <wp:extent cx="6563360" cy="3035935"/>
            <wp:effectExtent l="0" t="0" r="8890" b="0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336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4"/>
        </w:rPr>
        <w:t>图33</w:t>
      </w:r>
    </w:p>
    <w:p>
      <w:pPr>
        <w:pStyle w:val="5"/>
        <w:jc w:val="center"/>
        <w:rPr>
          <w:rFonts w:hint="eastAsia" w:ascii="宋体" w:hAnsi="宋体"/>
          <w:szCs w:val="24"/>
        </w:rPr>
      </w:pPr>
    </w:p>
    <w:p>
      <w:pPr>
        <w:pStyle w:val="5"/>
        <w:rPr>
          <w:rFonts w:hint="eastAsia" w:ascii="宋体" w:hAnsi="宋体"/>
          <w:szCs w:val="24"/>
        </w:rPr>
      </w:pPr>
    </w:p>
    <w:p>
      <w:pPr>
        <w:pStyle w:val="5"/>
        <w:rPr>
          <w:rFonts w:hint="eastAsia" w:ascii="宋体" w:hAnsi="宋体"/>
          <w:szCs w:val="24"/>
        </w:rPr>
      </w:pPr>
    </w:p>
    <w:p>
      <w:pPr>
        <w:pStyle w:val="5"/>
        <w:spacing w:line="360" w:lineRule="auto"/>
        <w:ind w:firstLine="480" w:firstLineChars="200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t>“立案情况”：当案件审查通过后（即为“立”字状态），可在“立案情况”查看案件的“状态、案号、承办法官、书记员、正式立案时间、当事人”（图34）</w:t>
      </w:r>
    </w:p>
    <w:p>
      <w:pPr>
        <w:pStyle w:val="5"/>
        <w:jc w:val="left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76200</wp:posOffset>
            </wp:positionV>
            <wp:extent cx="5705475" cy="2668270"/>
            <wp:effectExtent l="0" t="0" r="9525" b="0"/>
            <wp:wrapTight wrapText="bothSides">
              <wp:wrapPolygon>
                <wp:start x="0" y="0"/>
                <wp:lineTo x="0" y="21436"/>
                <wp:lineTo x="21564" y="21436"/>
                <wp:lineTo x="21564" y="0"/>
                <wp:lineTo x="0" y="0"/>
              </wp:wrapPolygon>
            </wp:wrapTight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jc w:val="center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t>图34</w:t>
      </w:r>
    </w:p>
    <w:p>
      <w:pPr>
        <w:pStyle w:val="5"/>
        <w:jc w:val="center"/>
        <w:rPr>
          <w:rFonts w:hint="eastAsia" w:ascii="宋体" w:hAnsi="宋体"/>
          <w:szCs w:val="24"/>
        </w:rPr>
      </w:pPr>
    </w:p>
    <w:p>
      <w:pPr>
        <w:pStyle w:val="5"/>
        <w:spacing w:line="360" w:lineRule="auto"/>
        <w:ind w:firstLine="480" w:firstLineChars="200"/>
        <w:rPr>
          <w:rFonts w:hint="eastAsia" w:ascii="宋体" w:hAnsi="宋体"/>
          <w:szCs w:val="24"/>
        </w:rPr>
      </w:pPr>
    </w:p>
    <w:p>
      <w:pPr>
        <w:pStyle w:val="5"/>
        <w:spacing w:line="360" w:lineRule="auto"/>
        <w:ind w:firstLine="480" w:firstLineChars="200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958850</wp:posOffset>
            </wp:positionV>
            <wp:extent cx="5691505" cy="2494280"/>
            <wp:effectExtent l="0" t="0" r="4445" b="127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4"/>
        </w:rPr>
        <w:t>“留言”：当法官有留言时，可在“留言”查看，右侧即为法官发送过来的留言，在左侧可以给法官留言（前提需要法官先留言），输入内容后，将左侧方框的滚动条拉到最下面，点击【发送】按钮即可（图35）。</w:t>
      </w:r>
    </w:p>
    <w:p>
      <w:pPr>
        <w:pStyle w:val="5"/>
        <w:jc w:val="center"/>
        <w:rPr>
          <w:rFonts w:hint="eastAsia" w:ascii="宋体" w:hAnsi="宋体"/>
          <w:szCs w:val="24"/>
        </w:rPr>
      </w:pPr>
      <w:r>
        <w:rPr>
          <w:rFonts w:hint="eastAsia" w:ascii="宋体" w:hAnsi="宋体"/>
          <w:szCs w:val="24"/>
        </w:rPr>
        <w:t>图35</w:t>
      </w:r>
    </w:p>
    <w:p>
      <w:pPr>
        <w:spacing w:line="360" w:lineRule="auto"/>
        <w:rPr>
          <w:rFonts w:hint="eastAsia" w:ascii="宋体" w:hAnsi="宋体"/>
          <w:b/>
          <w:sz w:val="24"/>
        </w:rPr>
      </w:pPr>
    </w:p>
    <w:p>
      <w:pPr>
        <w:spacing w:line="360" w:lineRule="auto"/>
        <w:rPr>
          <w:rFonts w:hint="eastAsia" w:ascii="宋体" w:hAnsi="宋体"/>
          <w:b/>
          <w:sz w:val="24"/>
        </w:rPr>
      </w:pPr>
    </w:p>
    <w:p>
      <w:pPr>
        <w:spacing w:line="360" w:lineRule="auto"/>
        <w:rPr>
          <w:rFonts w:hint="eastAsia" w:ascii="宋体" w:hAnsi="宋体"/>
          <w:b/>
          <w:sz w:val="24"/>
        </w:rPr>
      </w:pPr>
    </w:p>
    <w:p>
      <w:pPr>
        <w:spacing w:line="360" w:lineRule="auto"/>
        <w:ind w:firstLine="480" w:firstLineChars="200"/>
        <w:rPr>
          <w:rFonts w:hint="eastAsia"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二 电子送达平台操作指引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1.登录广州法院邮件送达专用平台（图36）</w:t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76850" cy="27241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图36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在IE浏览器地址框中，输入：</w:t>
      </w:r>
      <w:r>
        <w:fldChar w:fldCharType="begin"/>
      </w:r>
      <w:r>
        <w:instrText xml:space="preserve"> HYPERLINK "http://sd.gzcourt.gov.cn/" </w:instrText>
      </w:r>
      <w:r>
        <w:fldChar w:fldCharType="separate"/>
      </w:r>
      <w:r>
        <w:rPr>
          <w:rStyle w:val="8"/>
          <w:rFonts w:hint="eastAsia" w:ascii="宋体" w:hAnsi="宋体"/>
          <w:sz w:val="24"/>
        </w:rPr>
        <w:t>http://sd.gzcourt.gov.cn/</w:t>
      </w:r>
      <w:r>
        <w:rPr>
          <w:rStyle w:val="8"/>
          <w:rFonts w:hint="eastAsia" w:ascii="宋体" w:hAnsi="宋体"/>
          <w:sz w:val="24"/>
        </w:rPr>
        <w:fldChar w:fldCharType="end"/>
      </w:r>
      <w:r>
        <w:rPr>
          <w:rFonts w:hint="eastAsia" w:ascii="宋体" w:hAnsi="宋体"/>
          <w:sz w:val="24"/>
        </w:rPr>
        <w:t>，进入邮件系统用户登录页面。输入案件电子送达发送短信中的邮箱登录账号与密码（注：同一个邮件账号非首次发送短信，短信内容不包含账号的密码信息）。</w:t>
      </w:r>
    </w:p>
    <w:p>
      <w:pPr>
        <w:ind w:firstLine="480" w:firstLineChars="200"/>
        <w:rPr>
          <w:rFonts w:hint="eastAsia"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2.首次登录需要修改初始密码（图37）</w:t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600700" cy="2019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图37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按照系统要求的密码格式要求，设置账号的新密码，并请妥善保管修改后的账号密码。点击“修改密码”按钮，完成账号密码的修改。然后登陆到广州法院邮件送达专用平台。</w:t>
      </w:r>
    </w:p>
    <w:p>
      <w:pPr>
        <w:ind w:firstLine="480" w:firstLineChars="200"/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3.查看电子送达的邮件（图38）</w:t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76850" cy="25431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图38</w:t>
      </w:r>
    </w:p>
    <w:p>
      <w:pPr>
        <w:jc w:val="center"/>
        <w:rPr>
          <w:rFonts w:hint="eastAsia" w:ascii="宋体" w:hAnsi="宋体"/>
          <w:sz w:val="24"/>
        </w:rPr>
      </w:pPr>
    </w:p>
    <w:p>
      <w:pPr>
        <w:jc w:val="center"/>
        <w:rPr>
          <w:rFonts w:hint="eastAsia" w:ascii="宋体" w:hAnsi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4.点击对应的邮件记录，查看邮件详情，完成邮件的查看并下载需要下载的附件（图39）。</w:t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76850" cy="2343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sz w:val="24"/>
        </w:rPr>
        <w:t>图39</w:t>
      </w:r>
    </w:p>
    <w:p>
      <w:pPr>
        <w:spacing w:line="360" w:lineRule="auto"/>
        <w:rPr>
          <w:rFonts w:hint="eastAsia" w:ascii="宋体" w:hAnsi="宋体"/>
          <w:b/>
          <w:sz w:val="24"/>
        </w:rPr>
      </w:pPr>
    </w:p>
    <w:p>
      <w:pPr>
        <w:spacing w:line="360" w:lineRule="auto"/>
        <w:rPr>
          <w:rFonts w:hint="eastAsia" w:ascii="宋体" w:hAnsi="宋体"/>
          <w:b/>
          <w:sz w:val="24"/>
        </w:rPr>
      </w:pPr>
    </w:p>
    <w:p>
      <w:pPr>
        <w:spacing w:line="360" w:lineRule="auto"/>
        <w:rPr>
          <w:rFonts w:hint="eastAsia" w:ascii="宋体" w:hAnsi="宋体"/>
          <w:b/>
          <w:sz w:val="24"/>
        </w:rPr>
      </w:pPr>
    </w:p>
    <w:p>
      <w:pPr>
        <w:spacing w:line="360" w:lineRule="auto"/>
        <w:rPr>
          <w:rFonts w:hint="eastAsia" w:ascii="宋体" w:hAnsi="宋体"/>
          <w:b/>
          <w:sz w:val="24"/>
        </w:rPr>
      </w:pPr>
    </w:p>
    <w:p>
      <w:pPr>
        <w:spacing w:line="360" w:lineRule="auto"/>
        <w:rPr>
          <w:rFonts w:hint="eastAsia" w:ascii="宋体" w:hAnsi="宋体"/>
          <w:b/>
          <w:sz w:val="24"/>
        </w:rPr>
      </w:pPr>
    </w:p>
    <w:p>
      <w:pPr>
        <w:spacing w:line="360" w:lineRule="auto"/>
        <w:rPr>
          <w:rFonts w:hint="eastAsia" w:ascii="宋体" w:hAnsi="宋体"/>
          <w:b/>
          <w:sz w:val="24"/>
        </w:rPr>
      </w:pPr>
    </w:p>
    <w:p>
      <w:pPr>
        <w:spacing w:line="360" w:lineRule="auto"/>
        <w:rPr>
          <w:rFonts w:hint="eastAsia" w:ascii="宋体" w:hAnsi="宋体"/>
          <w:b/>
          <w:sz w:val="24"/>
        </w:rPr>
      </w:pPr>
    </w:p>
    <w:p>
      <w:pPr>
        <w:spacing w:line="360" w:lineRule="auto"/>
        <w:ind w:firstLine="240" w:firstLineChars="100"/>
        <w:rPr>
          <w:rFonts w:hint="eastAsia"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三 广州审判网诉讼服务中心操作指引</w:t>
      </w:r>
    </w:p>
    <w:p>
      <w:pPr>
        <w:numPr>
          <w:ilvl w:val="0"/>
          <w:numId w:val="2"/>
        </w:numPr>
        <w:spacing w:line="360" w:lineRule="auto"/>
        <w:ind w:left="0" w:firstLine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进入广州审判网页面，在菜单栏选择【网上诉讼服务中心】，可选择以下功能（图40）。</w:t>
      </w:r>
    </w:p>
    <w:p>
      <w:pPr>
        <w:spacing w:line="360" w:lineRule="auto"/>
        <w:ind w:left="360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105275" cy="35623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图40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【12368在线服务】：可以将需要咨询的问题在线上提交给话务员处理；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【在线阅卷系统】：电子卷阅卷申请指南，目前已经有电子卷自动公开，可以直接登录自己的账号查看；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【网上立案】：可以直接进入网上立案页面进行网上立案申请；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【诉讼指南人工服务】：可以将诉讼问题提交给话务员，话务员会进行专业的答复；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【联系法官】：在联系不上法官的情况下，可以使用该功能提交给话务员，话务员会转交给法官亲自处理；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【网上文书送达】：可以阅读法官送达给当事人的电子文书；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【网上信访】：接收信访意见，由接访人员亲自处理；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【裁判文书意见反馈】：当事人觉得裁判文书不规范等情况，可以使用该功能进行反馈；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【司法信息公开申请及投诉】：里面含有司法信息公开申请的操作指南和申请表，供当事人申请司法公开；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【对外邮箱】：接收当事人的建议和意见；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【EMS送达查询】：查询EMS的邮寄信息；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【网上缴费】：收到缴费通知书的当事人，可以直接使用该功能进行缴费；</w:t>
      </w:r>
    </w:p>
    <w:p>
      <w:pPr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【旁听预约服务】：当事人可以使用该功能进行旁听预约，会有专人回复是否预约成功。</w:t>
      </w: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numPr>
          <w:ilvl w:val="0"/>
          <w:numId w:val="2"/>
        </w:numPr>
        <w:spacing w:line="360" w:lineRule="auto"/>
        <w:ind w:left="357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进入广州审判网页面，在菜单栏选择【诉讼指引】，可选择以下功能（图41）。</w:t>
      </w:r>
    </w:p>
    <w:p>
      <w:pPr>
        <w:ind w:left="357"/>
        <w:jc w:val="center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104140</wp:posOffset>
            </wp:positionV>
            <wp:extent cx="6372225" cy="2705735"/>
            <wp:effectExtent l="0" t="0" r="9525" b="0"/>
            <wp:wrapTight wrapText="bothSides">
              <wp:wrapPolygon>
                <wp:start x="0" y="0"/>
                <wp:lineTo x="0" y="21443"/>
                <wp:lineTo x="21568" y="21443"/>
                <wp:lineTo x="21568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t>图41</w:t>
      </w:r>
    </w:p>
    <w:p>
      <w:pPr>
        <w:spacing w:line="360" w:lineRule="auto"/>
        <w:ind w:left="357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【诉讼指南】：展示各种案件的诉讼指南；</w:t>
      </w:r>
    </w:p>
    <w:p>
      <w:pPr>
        <w:spacing w:line="360" w:lineRule="auto"/>
        <w:ind w:left="357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【诉讼文书】：展示诉讼时需要的各种文书；</w:t>
      </w:r>
    </w:p>
    <w:p>
      <w:pPr>
        <w:spacing w:line="360" w:lineRule="auto"/>
        <w:ind w:left="357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【诉讼费用】：展示诉讼费用的计算格式（左边还有诉讼费计算器，方便当事人计算诉讼费）；</w:t>
      </w:r>
    </w:p>
    <w:p>
      <w:pPr>
        <w:spacing w:line="360" w:lineRule="auto"/>
        <w:ind w:left="357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【诉讼流程】：展示各种案件的诉讼流程，供当事人清晰的知道整个诉讼流程；</w:t>
      </w:r>
    </w:p>
    <w:p>
      <w:pPr>
        <w:spacing w:line="360" w:lineRule="auto"/>
        <w:ind w:left="357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【审判指导意见】：当事人可以参考里面指导意见进行诉讼；</w:t>
      </w:r>
    </w:p>
    <w:p>
      <w:pPr>
        <w:spacing w:line="360" w:lineRule="auto"/>
        <w:ind w:left="357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【审限说明】：供当事人知道各种案件的审理期限，监督法官是否超期审理；</w:t>
      </w:r>
    </w:p>
    <w:p>
      <w:pPr>
        <w:spacing w:line="360" w:lineRule="auto"/>
        <w:ind w:left="357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【司法救助】：供当事人了解司法救助情况，以及是否符合申请条件；</w:t>
      </w:r>
    </w:p>
    <w:p>
      <w:pPr>
        <w:spacing w:line="360" w:lineRule="auto"/>
        <w:ind w:left="357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【诉前联调】：对诉前联调定义的详细说明；</w:t>
      </w:r>
    </w:p>
    <w:p>
      <w:pPr>
        <w:spacing w:line="360" w:lineRule="auto"/>
        <w:ind w:left="357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【电子送达】：展示电子送达指南；</w:t>
      </w:r>
    </w:p>
    <w:p>
      <w:pPr>
        <w:spacing w:line="360" w:lineRule="auto"/>
        <w:ind w:left="357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【文书查询】：电子卷阅卷申请指南，目前已经有电子卷自动公开，可以直接登录自己的账号查看；</w:t>
      </w:r>
    </w:p>
    <w:p>
      <w:pPr>
        <w:spacing w:line="360" w:lineRule="auto"/>
        <w:ind w:left="357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【社会化服务】：展示法院的社会化服务信息；</w:t>
      </w:r>
    </w:p>
    <w:p>
      <w:pPr>
        <w:spacing w:line="360" w:lineRule="auto"/>
        <w:ind w:left="357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【诚信诉讼】：展示诚信诉讼的文书，供当事人查阅。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A36BBD"/>
    <w:multiLevelType w:val="multilevel"/>
    <w:tmpl w:val="3CA36BBD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9B64620"/>
    <w:multiLevelType w:val="multilevel"/>
    <w:tmpl w:val="69B6462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119"/>
    <w:rsid w:val="00002BEF"/>
    <w:rsid w:val="00023E2A"/>
    <w:rsid w:val="00061E69"/>
    <w:rsid w:val="000930A7"/>
    <w:rsid w:val="000B47A8"/>
    <w:rsid w:val="000D7906"/>
    <w:rsid w:val="000E01DB"/>
    <w:rsid w:val="000E642D"/>
    <w:rsid w:val="001017EF"/>
    <w:rsid w:val="00105743"/>
    <w:rsid w:val="0016355E"/>
    <w:rsid w:val="00196674"/>
    <w:rsid w:val="00204B9F"/>
    <w:rsid w:val="00212478"/>
    <w:rsid w:val="002162B7"/>
    <w:rsid w:val="00217BC9"/>
    <w:rsid w:val="002474E9"/>
    <w:rsid w:val="00277627"/>
    <w:rsid w:val="002851EB"/>
    <w:rsid w:val="002A6615"/>
    <w:rsid w:val="002F7397"/>
    <w:rsid w:val="003160CE"/>
    <w:rsid w:val="00325B23"/>
    <w:rsid w:val="00331AF1"/>
    <w:rsid w:val="00334EB4"/>
    <w:rsid w:val="0035017F"/>
    <w:rsid w:val="0035664F"/>
    <w:rsid w:val="00357609"/>
    <w:rsid w:val="00364FA3"/>
    <w:rsid w:val="00373A64"/>
    <w:rsid w:val="0038000C"/>
    <w:rsid w:val="00387DDB"/>
    <w:rsid w:val="003A5BA0"/>
    <w:rsid w:val="003B4310"/>
    <w:rsid w:val="003D466D"/>
    <w:rsid w:val="003E7A98"/>
    <w:rsid w:val="00423F21"/>
    <w:rsid w:val="00451D8C"/>
    <w:rsid w:val="00467623"/>
    <w:rsid w:val="004836E3"/>
    <w:rsid w:val="00490D6E"/>
    <w:rsid w:val="004965D4"/>
    <w:rsid w:val="004A18DC"/>
    <w:rsid w:val="004C244B"/>
    <w:rsid w:val="004C2CD2"/>
    <w:rsid w:val="004C6DB2"/>
    <w:rsid w:val="004E4D63"/>
    <w:rsid w:val="005014AF"/>
    <w:rsid w:val="0050684E"/>
    <w:rsid w:val="005633A0"/>
    <w:rsid w:val="00570E1D"/>
    <w:rsid w:val="00595127"/>
    <w:rsid w:val="005A230E"/>
    <w:rsid w:val="005D13DF"/>
    <w:rsid w:val="005D364C"/>
    <w:rsid w:val="005F2802"/>
    <w:rsid w:val="005F7132"/>
    <w:rsid w:val="006019F1"/>
    <w:rsid w:val="00671C21"/>
    <w:rsid w:val="0068336A"/>
    <w:rsid w:val="00695C42"/>
    <w:rsid w:val="006E0EAD"/>
    <w:rsid w:val="006E274A"/>
    <w:rsid w:val="00716B62"/>
    <w:rsid w:val="007378AC"/>
    <w:rsid w:val="00757CD9"/>
    <w:rsid w:val="00780F8D"/>
    <w:rsid w:val="00790027"/>
    <w:rsid w:val="007B31DA"/>
    <w:rsid w:val="007E0119"/>
    <w:rsid w:val="007F359A"/>
    <w:rsid w:val="007F3764"/>
    <w:rsid w:val="007F3A78"/>
    <w:rsid w:val="00834D35"/>
    <w:rsid w:val="00840325"/>
    <w:rsid w:val="00847AB7"/>
    <w:rsid w:val="00851023"/>
    <w:rsid w:val="008A4D7D"/>
    <w:rsid w:val="008D0D52"/>
    <w:rsid w:val="008D5B09"/>
    <w:rsid w:val="008E55D7"/>
    <w:rsid w:val="0091109B"/>
    <w:rsid w:val="00961639"/>
    <w:rsid w:val="00986F82"/>
    <w:rsid w:val="009945EC"/>
    <w:rsid w:val="00A40FBD"/>
    <w:rsid w:val="00A91344"/>
    <w:rsid w:val="00AB12A9"/>
    <w:rsid w:val="00AB5B5F"/>
    <w:rsid w:val="00AE7396"/>
    <w:rsid w:val="00B2416E"/>
    <w:rsid w:val="00B72EBB"/>
    <w:rsid w:val="00B74D2A"/>
    <w:rsid w:val="00BA722D"/>
    <w:rsid w:val="00BB62BC"/>
    <w:rsid w:val="00BD4266"/>
    <w:rsid w:val="00BF444F"/>
    <w:rsid w:val="00C5312A"/>
    <w:rsid w:val="00C616E7"/>
    <w:rsid w:val="00C6223E"/>
    <w:rsid w:val="00C73B22"/>
    <w:rsid w:val="00C81E58"/>
    <w:rsid w:val="00C961E5"/>
    <w:rsid w:val="00CC2709"/>
    <w:rsid w:val="00D105A7"/>
    <w:rsid w:val="00D322BA"/>
    <w:rsid w:val="00D3534E"/>
    <w:rsid w:val="00D8076B"/>
    <w:rsid w:val="00DC30CE"/>
    <w:rsid w:val="00DC464F"/>
    <w:rsid w:val="00DC4A16"/>
    <w:rsid w:val="00DD48A2"/>
    <w:rsid w:val="00E34992"/>
    <w:rsid w:val="00EB63D6"/>
    <w:rsid w:val="00F12DD6"/>
    <w:rsid w:val="00F2083D"/>
    <w:rsid w:val="00F20A72"/>
    <w:rsid w:val="00F416D2"/>
    <w:rsid w:val="00F66C02"/>
    <w:rsid w:val="00F67357"/>
    <w:rsid w:val="00F6758A"/>
    <w:rsid w:val="00F74D54"/>
    <w:rsid w:val="00F9455D"/>
    <w:rsid w:val="00FA2EE8"/>
    <w:rsid w:val="0C87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semiHidden/>
    <w:unhideWhenUsed/>
    <w:uiPriority w:val="99"/>
    <w:pPr>
      <w:ind w:firstLine="420" w:firstLineChars="100"/>
    </w:pPr>
  </w:style>
  <w:style w:type="paragraph" w:styleId="3">
    <w:name w:val="Body Text"/>
    <w:basedOn w:val="1"/>
    <w:semiHidden/>
    <w:unhideWhenUsed/>
    <w:uiPriority w:val="99"/>
    <w:pPr>
      <w:spacing w:after="120" w:afterLines="0" w:afterAutospacing="0"/>
    </w:pPr>
  </w:style>
  <w:style w:type="paragraph" w:styleId="4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5">
    <w:name w:val="Normal (Web)"/>
    <w:basedOn w:val="1"/>
    <w:unhideWhenUsed/>
    <w:qFormat/>
    <w:uiPriority w:val="99"/>
    <w:rPr>
      <w:rFonts w:ascii="Calibri" w:hAnsi="Calibri"/>
      <w:sz w:val="24"/>
      <w:szCs w:val="22"/>
    </w:rPr>
  </w:style>
  <w:style w:type="character" w:styleId="8">
    <w:name w:val="Hyperlink"/>
    <w:unhideWhenUsed/>
    <w:uiPriority w:val="99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10">
    <w:name w:val="批注框文本 Char"/>
    <w:basedOn w:val="7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Www.SangSan.Cn</Company>
  <Pages>24</Pages>
  <Words>581</Words>
  <Characters>3313</Characters>
  <Lines>27</Lines>
  <Paragraphs>7</Paragraphs>
  <TotalTime>5</TotalTime>
  <ScaleCrop>false</ScaleCrop>
  <LinksUpToDate>false</LinksUpToDate>
  <CharactersWithSpaces>3887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2022-01-27T08:49:00Z</dcterms:created>
  <dc:creator>余珣</dc:creator>
  <cp:lastModifiedBy>Administrator</cp:lastModifiedBy>
  <dcterms:modified xsi:type="dcterms:W3CDTF">2024-06-15T11:40:23Z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88974F7536794155A283A9EC0A49367B</vt:lpwstr>
  </property>
</Properties>
</file>