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F8" w:rsidRDefault="006975F8" w:rsidP="006975F8">
      <w:pPr>
        <w:spacing w:line="360" w:lineRule="auto"/>
        <w:jc w:val="center"/>
        <w:rPr>
          <w:rFonts w:ascii="黑体" w:eastAsia="黑体" w:hAnsi="宋体" w:cs="宋体" w:hint="eastAsia"/>
          <w:sz w:val="32"/>
          <w:szCs w:val="32"/>
        </w:rPr>
      </w:pPr>
      <w:r w:rsidRPr="00B30DB4">
        <w:rPr>
          <w:rFonts w:ascii="黑体" w:eastAsia="黑体" w:hAnsi="Times New Roman" w:cs="Times New Roman" w:hint="eastAsia"/>
          <w:sz w:val="32"/>
          <w:szCs w:val="32"/>
        </w:rPr>
        <w:t>诉讼权利和义务须知</w:t>
      </w:r>
      <w:r w:rsidRPr="00B30DB4">
        <w:rPr>
          <w:rFonts w:ascii="黑体" w:eastAsia="黑体" w:hAnsi="宋体" w:cs="宋体" w:hint="eastAsia"/>
          <w:sz w:val="32"/>
          <w:szCs w:val="32"/>
        </w:rPr>
        <w:t></w:t>
      </w:r>
    </w:p>
    <w:p w:rsidR="006975F8" w:rsidRPr="00B30DB4" w:rsidRDefault="006975F8" w:rsidP="006975F8">
      <w:pPr>
        <w:spacing w:line="360" w:lineRule="auto"/>
        <w:jc w:val="center"/>
        <w:rPr>
          <w:rFonts w:ascii="黑体" w:eastAsia="黑体" w:hAnsi="Times New Roman" w:cs="Times New Roman" w:hint="eastAsia"/>
          <w:sz w:val="32"/>
          <w:szCs w:val="32"/>
        </w:rPr>
      </w:pPr>
    </w:p>
    <w:p w:rsidR="006975F8" w:rsidRPr="00B30DB4" w:rsidRDefault="006975F8" w:rsidP="006975F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（一）当事人在民事诉讼中享有的权利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>1.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当事人有平等的诉讼权利，有权在法律规定的范围内处分自己的民事权利和诉讼权利。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  <w:bookmarkStart w:id="0" w:name="_GoBack"/>
      <w:bookmarkEnd w:id="0"/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2.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原告起诉后有放弃、变更或者增加诉讼请求的权利，被告可以承认或者反驳诉讼请求，被告在符合法定条件下有提起反诉的权利。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3.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当事人有权对受理案件法院的管辖权提出异议，但是应当在提交答辩状期间提出。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4.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当事人、法定代理人可以委托一至二人作为诉讼代理人，下列人员可以被委托为诉讼代理人：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1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）律师、基层法律服务工作者；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2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）当事人的近亲属或者工作人员；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B30DB4">
        <w:rPr>
          <w:rFonts w:ascii="Times New Roman" w:eastAsia="宋体" w:hAnsi="Times New Roman" w:cs="Times New Roman"/>
          <w:sz w:val="24"/>
          <w:szCs w:val="24"/>
        </w:rPr>
        <w:t>3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）当事人所在社区、单位以及有关社会团体推荐的公民。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/>
          <w:sz w:val="24"/>
          <w:szCs w:val="24"/>
        </w:rPr>
        <w:t>5.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有申请回避的权利，有收集、提交证据的权利，有进行辩论的权利，有请求调解的权利，有自行和解的权利，有申请财产保全或者先予执行的权利，有提起上诉的权利，有申请再审和申诉的权利，有适用本民族语言文字进行诉讼的权利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B30DB4">
        <w:rPr>
          <w:rFonts w:ascii="Times New Roman" w:eastAsia="宋体" w:hAnsi="Times New Roman" w:cs="Times New Roman"/>
          <w:sz w:val="24"/>
          <w:szCs w:val="24"/>
        </w:rPr>
        <w:t>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当事人有权查阅、复制本案有关材料，也可以复制本案法律文书，但应当遵守法院对查阅、复制范围和办法的规定。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B30DB4">
        <w:rPr>
          <w:rFonts w:ascii="Times New Roman" w:eastAsia="宋体" w:hAnsi="Times New Roman" w:cs="Times New Roman"/>
          <w:sz w:val="24"/>
          <w:szCs w:val="24"/>
        </w:rPr>
        <w:t>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法院的判决、裁定、调解书发生法律效力后，一方当事人不履行的，对方当事人有权向法院申请强制执行，申请执行的期间为二年。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（二）当事人在民事诉讼中应当履行的义务：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1.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当事人必须遵守诉讼秩序和法庭纪律，依法行使诉讼权利。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2.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当事人对自己提出的主张有收集或者提交证据的义务，并有运用该证据证明主张的案件事实成立或者有利于自己的责任，否则将承担其主张不能成立的不利后果。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3.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当事人应当尊重对方当事人和其他诉讼参加人的诉讼权利。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4.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当事人应当按照规定交纳案件受理费及其他诉讼费用。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6975F8" w:rsidRPr="00B30DB4" w:rsidRDefault="006975F8" w:rsidP="00697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30DB4">
        <w:rPr>
          <w:rFonts w:ascii="Times New Roman" w:eastAsia="宋体" w:hAnsi="Times New Roman" w:cs="Times New Roman"/>
          <w:sz w:val="24"/>
          <w:szCs w:val="24"/>
        </w:rPr>
        <w:t>5.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当事人必须履行发生法律效力的判决书、裁定书和调解书确定的义务，当事人拒绝履行的，对方当事人有权申请法院强制执行，并可依法对其予以训诫、罚款、拘留乃至追究刑事责任。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3D466D" w:rsidRDefault="003D466D"/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F8"/>
    <w:rsid w:val="00002BEF"/>
    <w:rsid w:val="00023E2A"/>
    <w:rsid w:val="00061E69"/>
    <w:rsid w:val="000930A7"/>
    <w:rsid w:val="000B47A8"/>
    <w:rsid w:val="000D7906"/>
    <w:rsid w:val="000E01DB"/>
    <w:rsid w:val="000E642D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975F8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Www.SangSan.Cn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2022-01-27T09:24:00Z</dcterms:created>
  <dcterms:modified xsi:type="dcterms:W3CDTF">2022-01-27T09:25:00Z</dcterms:modified>
</cp:coreProperties>
</file>